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 xml:space="preserve">[vyplní </w:t>
      </w:r>
      <w:r w:rsidR="00A455E0">
        <w:rPr>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49F633BF"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759</w:t>
      </w:r>
      <w:r w:rsidR="00346911">
        <w:rPr>
          <w:szCs w:val="22"/>
          <w:u w:val="none"/>
        </w:rPr>
        <w:t>7</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w:t>
      </w:r>
      <w:proofErr w:type="spellStart"/>
      <w:r w:rsidR="004A44A6" w:rsidRPr="004A44A6">
        <w:rPr>
          <w:szCs w:val="22"/>
          <w:u w:val="none"/>
        </w:rPr>
        <w:t>vícekolové</w:t>
      </w:r>
      <w:r w:rsidR="004A44A6">
        <w:rPr>
          <w:szCs w:val="22"/>
          <w:u w:val="none"/>
        </w:rPr>
        <w:t>ho</w:t>
      </w:r>
      <w:proofErr w:type="spellEnd"/>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0381C936"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 xml:space="preserve">obecných Obchodních podmínek účasti na elektronických Výběrových </w:t>
      </w:r>
      <w:proofErr w:type="spellStart"/>
      <w:r w:rsidR="004A44A6" w:rsidRPr="004A44A6">
        <w:rPr>
          <w:bCs/>
          <w:szCs w:val="22"/>
          <w:u w:val="none"/>
        </w:rPr>
        <w:t>vícekolových</w:t>
      </w:r>
      <w:proofErr w:type="spellEnd"/>
      <w:r w:rsidR="004A44A6" w:rsidRPr="004A44A6">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759</w:t>
      </w:r>
      <w:r w:rsidR="00346911">
        <w:rPr>
          <w:bCs/>
          <w:szCs w:val="22"/>
          <w:u w:val="none"/>
        </w:rPr>
        <w:t>7</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w:t>
      </w:r>
      <w:r w:rsidR="00AF0F74" w:rsidRPr="002A429A">
        <w:rPr>
          <w:szCs w:val="22"/>
          <w:u w:val="none"/>
        </w:rPr>
        <w:t xml:space="preserve">smyslu </w:t>
      </w:r>
      <w:bookmarkStart w:id="1" w:name="_Hlk190647554"/>
      <w:r w:rsidR="00AF0F74" w:rsidRPr="002A429A">
        <w:rPr>
          <w:szCs w:val="22"/>
          <w:u w:val="none"/>
        </w:rPr>
        <w:t xml:space="preserve">čl. IX. odst. 1 a násl. </w:t>
      </w:r>
      <w:r w:rsidR="00DF58E6" w:rsidRPr="002A429A">
        <w:rPr>
          <w:bCs/>
          <w:szCs w:val="22"/>
          <w:u w:val="none"/>
        </w:rPr>
        <w:t xml:space="preserve">Obchodních podmínek účasti na elektronických Výběrových </w:t>
      </w:r>
      <w:proofErr w:type="spellStart"/>
      <w:r w:rsidR="00DF58E6" w:rsidRPr="002A429A">
        <w:rPr>
          <w:bCs/>
          <w:szCs w:val="22"/>
          <w:u w:val="none"/>
        </w:rPr>
        <w:t>vícekolových</w:t>
      </w:r>
      <w:proofErr w:type="spellEnd"/>
      <w:r w:rsidR="00DF58E6" w:rsidRPr="002A429A">
        <w:rPr>
          <w:bCs/>
          <w:szCs w:val="22"/>
          <w:u w:val="none"/>
        </w:rPr>
        <w:t xml:space="preserve"> řízení v systému společnosti GAUTE, a.s. provozovaném na adrese </w:t>
      </w:r>
      <w:hyperlink r:id="rId8" w:history="1">
        <w:r w:rsidR="00DF58E6" w:rsidRPr="002A429A">
          <w:rPr>
            <w:rStyle w:val="Hypertextovodkaz"/>
            <w:bCs/>
            <w:szCs w:val="22"/>
          </w:rPr>
          <w:t>www.verejnedrazby.cz</w:t>
        </w:r>
      </w:hyperlink>
      <w:r w:rsidR="00DF58E6" w:rsidRPr="002A429A">
        <w:rPr>
          <w:bCs/>
          <w:szCs w:val="22"/>
          <w:u w:val="none"/>
        </w:rPr>
        <w:t xml:space="preserve"> a dále ve smyslu </w:t>
      </w:r>
      <w:r w:rsidR="00DF58E6" w:rsidRPr="002A429A">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0CE8279D"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346911">
        <w:rPr>
          <w:rFonts w:ascii="Times New Roman" w:hAnsi="Times New Roman"/>
          <w:color w:val="auto"/>
          <w:sz w:val="22"/>
          <w:szCs w:val="22"/>
        </w:rPr>
        <w:t>600.000</w:t>
      </w:r>
      <w:r w:rsidR="005A4F3D">
        <w:rPr>
          <w:rFonts w:ascii="Times New Roman" w:hAnsi="Times New Roman"/>
          <w:color w:val="auto"/>
          <w:sz w:val="22"/>
          <w:szCs w:val="22"/>
        </w:rPr>
        <w:t>,-</w:t>
      </w:r>
      <w:r w:rsidR="0030347A"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w:t>
      </w:r>
      <w:r w:rsidR="005A4F3D">
        <w:rPr>
          <w:rFonts w:ascii="Times New Roman" w:hAnsi="Times New Roman"/>
          <w:color w:val="auto"/>
          <w:sz w:val="22"/>
          <w:szCs w:val="22"/>
        </w:rPr>
        <w:t xml:space="preserve">tisíc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346911">
        <w:rPr>
          <w:rFonts w:ascii="Times New Roman" w:hAnsi="Times New Roman"/>
          <w:color w:val="auto"/>
          <w:sz w:val="22"/>
          <w:szCs w:val="22"/>
        </w:rPr>
        <w:t>600.000,-</w:t>
      </w:r>
      <w:r w:rsidR="00346911"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tisíc </w:t>
      </w:r>
      <w:r w:rsidR="00346911"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5A4F3D">
        <w:rPr>
          <w:rFonts w:ascii="Times New Roman" w:hAnsi="Times New Roman"/>
          <w:color w:val="auto"/>
          <w:sz w:val="22"/>
          <w:szCs w:val="22"/>
        </w:rPr>
        <w:t>1</w:t>
      </w:r>
      <w:r w:rsidR="00346911">
        <w:rPr>
          <w:rFonts w:ascii="Times New Roman" w:hAnsi="Times New Roman"/>
          <w:color w:val="auto"/>
          <w:sz w:val="22"/>
          <w:szCs w:val="22"/>
        </w:rPr>
        <w:t>9</w:t>
      </w:r>
      <w:r w:rsidR="005A4F3D">
        <w:rPr>
          <w:rFonts w:ascii="Times New Roman" w:hAnsi="Times New Roman"/>
          <w:color w:val="auto"/>
          <w:sz w:val="22"/>
          <w:szCs w:val="22"/>
        </w:rPr>
        <w:t>.3.2025</w:t>
      </w:r>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w:t>
      </w:r>
      <w:r w:rsidR="0030347A" w:rsidRPr="009A54D7">
        <w:rPr>
          <w:rFonts w:ascii="Times New Roman" w:hAnsi="Times New Roman"/>
          <w:color w:val="auto"/>
          <w:sz w:val="22"/>
          <w:szCs w:val="22"/>
        </w:rPr>
        <w:lastRenderedPageBreak/>
        <w:t xml:space="preserve">musí být složena na účet č. </w:t>
      </w:r>
      <w:r w:rsidR="005A4F3D" w:rsidRPr="005A4F3D">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proofErr w:type="spellStart"/>
      <w:r w:rsidR="005A4F3D" w:rsidRPr="005A4F3D">
        <w:rPr>
          <w:rFonts w:ascii="Times New Roman" w:hAnsi="Times New Roman"/>
          <w:color w:val="auto"/>
          <w:sz w:val="22"/>
          <w:szCs w:val="22"/>
        </w:rPr>
        <w:t>UniCredit</w:t>
      </w:r>
      <w:proofErr w:type="spellEnd"/>
      <w:r w:rsidR="005A4F3D" w:rsidRPr="005A4F3D">
        <w:rPr>
          <w:rFonts w:ascii="Times New Roman" w:hAnsi="Times New Roman"/>
          <w:color w:val="auto"/>
          <w:sz w:val="22"/>
          <w:szCs w:val="22"/>
        </w:rPr>
        <w:t xml:space="preserve"> Bank Czech Republic and Slovakia, a.s.</w:t>
      </w:r>
      <w:r w:rsidR="0030347A" w:rsidRPr="009A54D7">
        <w:rPr>
          <w:rFonts w:ascii="Times New Roman" w:hAnsi="Times New Roman"/>
          <w:color w:val="auto"/>
          <w:sz w:val="22"/>
          <w:szCs w:val="22"/>
        </w:rPr>
        <w:t>,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w:t>
      </w:r>
      <w:r w:rsidRPr="002A429A">
        <w:rPr>
          <w:sz w:val="22"/>
          <w:szCs w:val="22"/>
        </w:rPr>
        <w:t xml:space="preserve">stane se vítězem </w:t>
      </w:r>
      <w:r w:rsidR="00476885" w:rsidRPr="002A429A">
        <w:rPr>
          <w:sz w:val="22"/>
          <w:szCs w:val="22"/>
        </w:rPr>
        <w:t>VVŘ</w:t>
      </w:r>
      <w:r w:rsidRPr="002A429A">
        <w:rPr>
          <w:sz w:val="22"/>
          <w:szCs w:val="22"/>
        </w:rPr>
        <w:t xml:space="preserve">, </w:t>
      </w:r>
      <w:r w:rsidR="007A5E3C" w:rsidRPr="002A429A">
        <w:rPr>
          <w:sz w:val="22"/>
          <w:szCs w:val="22"/>
        </w:rPr>
        <w:t xml:space="preserve">vznikne mu </w:t>
      </w:r>
      <w:r w:rsidRPr="002A429A">
        <w:rPr>
          <w:sz w:val="22"/>
          <w:szCs w:val="22"/>
        </w:rPr>
        <w:t xml:space="preserve">povinnost k uzavření </w:t>
      </w:r>
      <w:r w:rsidR="00E91D91" w:rsidRPr="002A429A">
        <w:rPr>
          <w:bCs/>
          <w:sz w:val="22"/>
          <w:szCs w:val="22"/>
        </w:rPr>
        <w:t>Kupní s</w:t>
      </w:r>
      <w:r w:rsidR="00E706F7" w:rsidRPr="002A429A">
        <w:rPr>
          <w:bCs/>
          <w:sz w:val="22"/>
          <w:szCs w:val="22"/>
        </w:rPr>
        <w:t xml:space="preserve">mlouvy </w:t>
      </w:r>
      <w:r w:rsidR="009A54D7" w:rsidRPr="002A429A">
        <w:rPr>
          <w:bCs/>
          <w:sz w:val="22"/>
          <w:szCs w:val="22"/>
        </w:rPr>
        <w:t xml:space="preserve">k </w:t>
      </w:r>
      <w:r w:rsidR="00E91D91" w:rsidRPr="002A429A">
        <w:rPr>
          <w:sz w:val="22"/>
          <w:szCs w:val="22"/>
        </w:rPr>
        <w:t>P</w:t>
      </w:r>
      <w:r w:rsidRPr="002A429A">
        <w:rPr>
          <w:sz w:val="22"/>
          <w:szCs w:val="22"/>
        </w:rPr>
        <w:t>ředmět</w:t>
      </w:r>
      <w:r w:rsidR="009A54D7" w:rsidRPr="002A429A">
        <w:rPr>
          <w:sz w:val="22"/>
          <w:szCs w:val="22"/>
        </w:rPr>
        <w:t>u</w:t>
      </w:r>
      <w:r w:rsidRPr="002A429A">
        <w:rPr>
          <w:sz w:val="22"/>
          <w:szCs w:val="22"/>
        </w:rPr>
        <w:t xml:space="preserve"> prodeje ve smyslu </w:t>
      </w:r>
      <w:r w:rsidR="00476885" w:rsidRPr="002A429A">
        <w:rPr>
          <w:sz w:val="22"/>
          <w:szCs w:val="22"/>
        </w:rPr>
        <w:t xml:space="preserve">čl. IX. odst. 1 a násl. Obchodních podmínek účasti na elektronických Výběrových </w:t>
      </w:r>
      <w:proofErr w:type="spellStart"/>
      <w:r w:rsidR="00476885" w:rsidRPr="002A429A">
        <w:rPr>
          <w:sz w:val="22"/>
          <w:szCs w:val="22"/>
        </w:rPr>
        <w:t>vícekolových</w:t>
      </w:r>
      <w:proofErr w:type="spellEnd"/>
      <w:r w:rsidR="00476885" w:rsidRPr="002A429A">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2A429A">
        <w:rPr>
          <w:sz w:val="22"/>
          <w:szCs w:val="22"/>
        </w:rPr>
        <w:t>.</w:t>
      </w:r>
      <w:r w:rsidR="00CF16F7" w:rsidRPr="002A429A">
        <w:rPr>
          <w:sz w:val="22"/>
          <w:szCs w:val="22"/>
        </w:rPr>
        <w:t xml:space="preserve"> </w:t>
      </w:r>
      <w:r w:rsidR="009733C8" w:rsidRPr="002A429A">
        <w:rPr>
          <w:sz w:val="22"/>
          <w:szCs w:val="22"/>
        </w:rPr>
        <w:t xml:space="preserve">Ujednání čl. I. odst. </w:t>
      </w:r>
      <w:r w:rsidR="00E706F7" w:rsidRPr="002A429A">
        <w:rPr>
          <w:sz w:val="22"/>
          <w:szCs w:val="22"/>
        </w:rPr>
        <w:t>2 –</w:t>
      </w:r>
      <w:r w:rsidR="00A258FB" w:rsidRPr="002A429A">
        <w:rPr>
          <w:sz w:val="22"/>
          <w:szCs w:val="22"/>
        </w:rPr>
        <w:t xml:space="preserve"> 4</w:t>
      </w:r>
      <w:r w:rsidR="00E706F7" w:rsidRPr="002A429A">
        <w:rPr>
          <w:sz w:val="22"/>
          <w:szCs w:val="22"/>
        </w:rPr>
        <w:t xml:space="preserve"> </w:t>
      </w:r>
      <w:r w:rsidR="009733C8" w:rsidRPr="002A429A">
        <w:rPr>
          <w:sz w:val="22"/>
          <w:szCs w:val="22"/>
        </w:rPr>
        <w:t xml:space="preserve">této smlouvy tím není dotčeno. </w:t>
      </w:r>
      <w:r w:rsidRPr="002A429A">
        <w:rPr>
          <w:sz w:val="22"/>
          <w:szCs w:val="22"/>
        </w:rPr>
        <w:t xml:space="preserve">Kupní cena bude určena ve smyslu </w:t>
      </w:r>
      <w:r w:rsidR="00B7131A" w:rsidRPr="002A429A">
        <w:rPr>
          <w:sz w:val="22"/>
          <w:szCs w:val="22"/>
        </w:rPr>
        <w:t xml:space="preserve">čl. </w:t>
      </w:r>
      <w:r w:rsidR="0040264F" w:rsidRPr="002A429A">
        <w:rPr>
          <w:sz w:val="22"/>
          <w:szCs w:val="22"/>
        </w:rPr>
        <w:t>IV</w:t>
      </w:r>
      <w:r w:rsidR="00D6572C" w:rsidRPr="002A429A">
        <w:rPr>
          <w:sz w:val="22"/>
          <w:szCs w:val="22"/>
        </w:rPr>
        <w:t>.</w:t>
      </w:r>
      <w:r w:rsidR="0040264F" w:rsidRPr="002A429A">
        <w:rPr>
          <w:sz w:val="22"/>
          <w:szCs w:val="22"/>
        </w:rPr>
        <w:t xml:space="preserve"> odst. 2</w:t>
      </w:r>
      <w:r w:rsidR="00B7131A" w:rsidRPr="002A429A">
        <w:rPr>
          <w:sz w:val="22"/>
          <w:szCs w:val="22"/>
        </w:rPr>
        <w:t xml:space="preserve"> </w:t>
      </w:r>
      <w:r w:rsidR="0040264F" w:rsidRPr="002A429A">
        <w:rPr>
          <w:sz w:val="22"/>
          <w:szCs w:val="22"/>
        </w:rPr>
        <w:t>Obchodních</w:t>
      </w:r>
      <w:r w:rsidR="0040264F" w:rsidRPr="0040264F">
        <w:rPr>
          <w:sz w:val="22"/>
          <w:szCs w:val="22"/>
        </w:rPr>
        <w:t xml:space="preserve">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131CE299"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759</w:t>
      </w:r>
      <w:r w:rsidR="00346911">
        <w:rPr>
          <w:sz w:val="22"/>
          <w:szCs w:val="22"/>
        </w:rPr>
        <w:t>8</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764237EB"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5A4F3D">
        <w:rPr>
          <w:b/>
          <w:bCs/>
          <w:sz w:val="22"/>
          <w:szCs w:val="22"/>
        </w:rPr>
        <w:t>1</w:t>
      </w:r>
      <w:r w:rsidR="00346911">
        <w:rPr>
          <w:b/>
          <w:bCs/>
          <w:sz w:val="22"/>
          <w:szCs w:val="22"/>
        </w:rPr>
        <w:t>9</w:t>
      </w:r>
      <w:r w:rsidR="005A4F3D">
        <w:rPr>
          <w:b/>
          <w:bCs/>
          <w:sz w:val="22"/>
          <w:szCs w:val="22"/>
        </w:rPr>
        <w:t>.4.2025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657AF069"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5A4F3D">
        <w:rPr>
          <w:b/>
          <w:bCs/>
          <w:sz w:val="22"/>
          <w:szCs w:val="22"/>
        </w:rPr>
        <w:t>1</w:t>
      </w:r>
      <w:r w:rsidR="00346911">
        <w:rPr>
          <w:b/>
          <w:bCs/>
          <w:sz w:val="22"/>
          <w:szCs w:val="22"/>
        </w:rPr>
        <w:t>9</w:t>
      </w:r>
      <w:r w:rsidR="005A4F3D">
        <w:rPr>
          <w:b/>
          <w:bCs/>
          <w:sz w:val="22"/>
          <w:szCs w:val="22"/>
        </w:rPr>
        <w:t>.4.2025</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5A4F3D" w:rsidRPr="009A54D7">
        <w:rPr>
          <w:sz w:val="22"/>
          <w:szCs w:val="22"/>
        </w:rPr>
        <w:t>IČ/</w:t>
      </w:r>
      <w:proofErr w:type="spellStart"/>
      <w:r w:rsidR="005A4F3D" w:rsidRPr="009A54D7">
        <w:rPr>
          <w:sz w:val="22"/>
          <w:szCs w:val="22"/>
        </w:rPr>
        <w:t>r.č</w:t>
      </w:r>
      <w:proofErr w:type="spellEnd"/>
      <w:r w:rsidR="005A4F3D" w:rsidRPr="009A54D7">
        <w:rPr>
          <w:sz w:val="22"/>
          <w:szCs w:val="22"/>
        </w:rPr>
        <w:t xml:space="preserve">. </w:t>
      </w:r>
      <w:r w:rsidR="005A4F3D">
        <w:rPr>
          <w:sz w:val="22"/>
          <w:szCs w:val="22"/>
        </w:rPr>
        <w:t>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w:t>
      </w:r>
      <w:r w:rsidR="00365182" w:rsidRPr="00DE52DE">
        <w:rPr>
          <w:bCs/>
          <w:iCs/>
          <w:sz w:val="22"/>
          <w:szCs w:val="22"/>
        </w:rPr>
        <w:lastRenderedPageBreak/>
        <w:t>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2C2C1F8"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346911">
        <w:rPr>
          <w:sz w:val="22"/>
          <w:szCs w:val="22"/>
        </w:rPr>
        <w:t>600.000,-</w:t>
      </w:r>
      <w:r w:rsidR="00346911" w:rsidRPr="009A54D7">
        <w:rPr>
          <w:sz w:val="22"/>
          <w:szCs w:val="22"/>
        </w:rPr>
        <w:t xml:space="preserve">Kč (slovy </w:t>
      </w:r>
      <w:r w:rsidR="00346911">
        <w:rPr>
          <w:sz w:val="22"/>
          <w:szCs w:val="22"/>
        </w:rPr>
        <w:t xml:space="preserve">šest set tisíc </w:t>
      </w:r>
      <w:r w:rsidR="00346911" w:rsidRPr="009A54D7">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185FE31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346911">
        <w:rPr>
          <w:bCs/>
          <w:sz w:val="22"/>
          <w:szCs w:val="22"/>
        </w:rPr>
        <w:t>3</w:t>
      </w:r>
      <w:r w:rsidR="00503BEB">
        <w:rPr>
          <w:bCs/>
          <w:sz w:val="22"/>
          <w:szCs w:val="22"/>
        </w:rPr>
        <w:t>.5.2025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xml:space="preserve">, pak bude </w:t>
      </w:r>
      <w:r w:rsidRPr="00DE52DE">
        <w:rPr>
          <w:sz w:val="22"/>
          <w:szCs w:val="22"/>
        </w:rPr>
        <w:lastRenderedPageBreak/>
        <w:t>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20BEA52C"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1</w:t>
      </w:r>
      <w:r w:rsidR="00346911">
        <w:rPr>
          <w:sz w:val="22"/>
          <w:szCs w:val="22"/>
        </w:rPr>
        <w:t>9</w:t>
      </w:r>
      <w:r w:rsidR="00503BEB">
        <w:rPr>
          <w:sz w:val="22"/>
          <w:szCs w:val="22"/>
        </w:rPr>
        <w:t>.3.2025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34B5B161"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759</w:t>
      </w:r>
      <w:r w:rsidR="00346911">
        <w:rPr>
          <w:bCs/>
          <w:sz w:val="22"/>
          <w:szCs w:val="22"/>
        </w:rPr>
        <w:t>7</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188E5203"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A759</w:t>
      </w:r>
      <w:r w:rsidR="00346911">
        <w:rPr>
          <w:sz w:val="22"/>
          <w:szCs w:val="22"/>
        </w:rPr>
        <w:t>7</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5764B7C2" w14:textId="77777777" w:rsidR="002A0564" w:rsidRDefault="002A0564" w:rsidP="002A0564">
      <w:pPr>
        <w:widowControl w:val="0"/>
        <w:tabs>
          <w:tab w:val="left" w:pos="709"/>
        </w:tabs>
        <w:jc w:val="both"/>
        <w:rPr>
          <w:rFonts w:cs="Calibri"/>
          <w:bCs/>
          <w:sz w:val="22"/>
          <w:lang w:eastAsia="ar-SA"/>
        </w:rPr>
      </w:pPr>
      <w:r>
        <w:rPr>
          <w:rFonts w:cs="Calibri"/>
          <w:bCs/>
          <w:sz w:val="22"/>
          <w:lang w:eastAsia="ar-SA"/>
        </w:rPr>
        <w:t xml:space="preserve">- pozemek </w:t>
      </w:r>
      <w:proofErr w:type="spellStart"/>
      <w:r>
        <w:rPr>
          <w:rFonts w:cs="Calibri"/>
          <w:bCs/>
          <w:sz w:val="22"/>
          <w:lang w:eastAsia="ar-SA"/>
        </w:rPr>
        <w:t>parc</w:t>
      </w:r>
      <w:proofErr w:type="spellEnd"/>
      <w:r>
        <w:rPr>
          <w:rFonts w:cs="Calibri"/>
          <w:bCs/>
          <w:sz w:val="22"/>
          <w:lang w:eastAsia="ar-SA"/>
        </w:rPr>
        <w:t>. č. 1399/4, zastavěná plocha a nádvoří, jehož součástí je stavba, Kunčice č.p. 744</w:t>
      </w:r>
      <w:r>
        <w:rPr>
          <w:rFonts w:cs="Calibri"/>
          <w:sz w:val="22"/>
          <w:lang w:eastAsia="ar-SA"/>
        </w:rPr>
        <w:t xml:space="preserve">, </w:t>
      </w:r>
      <w:proofErr w:type="spellStart"/>
      <w:r>
        <w:rPr>
          <w:rFonts w:cs="Calibri"/>
          <w:sz w:val="22"/>
          <w:lang w:eastAsia="ar-SA"/>
        </w:rPr>
        <w:t>obč.vyb</w:t>
      </w:r>
      <w:proofErr w:type="spellEnd"/>
      <w:r>
        <w:rPr>
          <w:rFonts w:cs="Calibri"/>
          <w:sz w:val="22"/>
          <w:lang w:eastAsia="ar-SA"/>
        </w:rPr>
        <w:t>.,</w:t>
      </w:r>
      <w:r>
        <w:rPr>
          <w:rFonts w:cs="Calibri"/>
          <w:bCs/>
          <w:sz w:val="22"/>
          <w:lang w:eastAsia="ar-SA"/>
        </w:rPr>
        <w:t xml:space="preserve"> stavba stojí na pozemku </w:t>
      </w:r>
      <w:proofErr w:type="spellStart"/>
      <w:r>
        <w:rPr>
          <w:rFonts w:cs="Calibri"/>
          <w:bCs/>
          <w:sz w:val="22"/>
          <w:lang w:eastAsia="ar-SA"/>
        </w:rPr>
        <w:t>parc</w:t>
      </w:r>
      <w:proofErr w:type="spellEnd"/>
      <w:r>
        <w:rPr>
          <w:rFonts w:cs="Calibri"/>
          <w:bCs/>
          <w:sz w:val="22"/>
          <w:lang w:eastAsia="ar-SA"/>
        </w:rPr>
        <w:t>. č. 1399/4,</w:t>
      </w:r>
    </w:p>
    <w:p w14:paraId="4DEA6EE2" w14:textId="77777777" w:rsidR="002A0564" w:rsidRDefault="002A0564" w:rsidP="002A0564">
      <w:pPr>
        <w:widowControl w:val="0"/>
        <w:tabs>
          <w:tab w:val="left" w:pos="709"/>
        </w:tabs>
        <w:jc w:val="both"/>
        <w:rPr>
          <w:rFonts w:eastAsia="Calibri" w:cs="Calibri"/>
          <w:color w:val="000000"/>
          <w:sz w:val="22"/>
          <w:szCs w:val="22"/>
          <w:lang w:eastAsia="en-US"/>
        </w:rPr>
      </w:pPr>
      <w:r>
        <w:rPr>
          <w:rFonts w:cs="Calibri"/>
          <w:bCs/>
          <w:sz w:val="22"/>
          <w:lang w:eastAsia="ar-SA"/>
        </w:rPr>
        <w:t xml:space="preserve">vše zapsáno v katastru nemovitostí na LV č. 6 pro katastrální území Kunčice nad Ostravicí, obec Ostrava, u </w:t>
      </w:r>
      <w:r>
        <w:rPr>
          <w:rFonts w:cs="Calibri"/>
          <w:sz w:val="22"/>
          <w:lang w:eastAsia="ar-SA"/>
        </w:rPr>
        <w:t>Katastrálního úřadu pro Moravskoslezský kraj, Katastrální pracoviště Ostrava (dále tyto nemovité věci také jen „nemovitosti“).</w:t>
      </w:r>
    </w:p>
    <w:p w14:paraId="113EC400" w14:textId="5F6086C4" w:rsidR="005A5F36" w:rsidRDefault="005A5F36" w:rsidP="002A0564">
      <w:pPr>
        <w:widowControl w:val="0"/>
        <w:tabs>
          <w:tab w:val="left" w:pos="709"/>
        </w:tabs>
        <w:spacing w:before="120" w:after="240"/>
        <w:contextualSpacing/>
        <w:jc w:val="both"/>
        <w:rPr>
          <w:rFonts w:eastAsia="Calibri"/>
          <w:bCs/>
          <w:color w:val="000000"/>
          <w:sz w:val="22"/>
          <w:szCs w:val="22"/>
          <w:lang w:eastAsia="en-US"/>
        </w:rPr>
      </w:pP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 xml:space="preserve">Obchodní podmínky (dále též jen jako „obchodní podmínky“ či „tyto podmínky“) účasti na elektronických Výběrových </w:t>
      </w:r>
      <w:proofErr w:type="spellStart"/>
      <w:r w:rsidRPr="00F97ED3">
        <w:rPr>
          <w:rFonts w:ascii="Calibri" w:eastAsia="Calibri" w:hAnsi="Calibri" w:cs="Open Sans"/>
          <w:b/>
          <w:bCs/>
          <w:color w:val="000000"/>
          <w:sz w:val="18"/>
          <w:szCs w:val="22"/>
          <w:lang w:eastAsia="en-US"/>
        </w:rPr>
        <w:t>vícekolových</w:t>
      </w:r>
      <w:proofErr w:type="spellEnd"/>
      <w:r w:rsidRPr="00F97ED3">
        <w:rPr>
          <w:rFonts w:ascii="Calibri" w:eastAsia="Calibri" w:hAnsi="Calibri" w:cs="Open Sans"/>
          <w:b/>
          <w:bCs/>
          <w:color w:val="000000"/>
          <w:sz w:val="18"/>
          <w:szCs w:val="22"/>
          <w:lang w:eastAsia="en-US"/>
        </w:rPr>
        <w:t xml:space="preserve">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od  1.1.2025.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či jednotlivě jako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Identifikační údaje provozovatele ZEGS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pak nepředstavují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xml:space="preserve">Výslovně se tak stanovuje (a ujednává), že jakákoliv účast (a činění právních jednání) PK (a PP) v ZEGS na tzv.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VVŘ – jako potencionální kupující (PK) – může být pouze svéprávná osoba nebo právnická osoba, která si zřídila v </w:t>
      </w:r>
      <w:r w:rsidRPr="00F97ED3">
        <w:rPr>
          <w:rFonts w:ascii="Calibri" w:eastAsia="Calibri" w:hAnsi="Calibri" w:cs="Open Sans"/>
          <w:bCs/>
          <w:color w:val="000000"/>
          <w:sz w:val="18"/>
          <w:szCs w:val="18"/>
          <w:lang w:eastAsia="en-US"/>
        </w:rPr>
        <w:lastRenderedPageBreak/>
        <w:t xml:space="preserve">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F97ED3">
        <w:rPr>
          <w:rFonts w:ascii="Calibri" w:eastAsia="Calibri" w:hAnsi="Calibri" w:cs="Open Sans"/>
          <w:bCs/>
          <w:color w:val="000000"/>
          <w:sz w:val="18"/>
          <w:szCs w:val="18"/>
          <w:lang w:eastAsia="en-US"/>
        </w:rPr>
        <w:t>potencionáních</w:t>
      </w:r>
      <w:proofErr w:type="spellEnd"/>
      <w:r w:rsidRPr="00F97ED3">
        <w:rPr>
          <w:rFonts w:ascii="Calibri" w:eastAsia="Calibri" w:hAnsi="Calibri" w:cs="Open Sans"/>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stejný PK podá dva různé návrhy ceny (písemný návrh i elektronicky v systému), považuje se za platný </w:t>
      </w:r>
      <w:r w:rsidRPr="00F97ED3">
        <w:rPr>
          <w:rFonts w:ascii="Calibri" w:eastAsia="Calibri" w:hAnsi="Calibri" w:cs="Open Sans"/>
          <w:bCs/>
          <w:color w:val="000000"/>
          <w:sz w:val="18"/>
          <w:szCs w:val="18"/>
          <w:lang w:eastAsia="en-US"/>
        </w:rPr>
        <w:lastRenderedPageBreak/>
        <w:t>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proofErr w:type="spellStart"/>
      <w:r w:rsidRPr="00F97ED3">
        <w:rPr>
          <w:rFonts w:ascii="Calibri" w:hAnsi="Calibri"/>
          <w:sz w:val="18"/>
          <w:szCs w:val="18"/>
          <w:lang w:val="x-none"/>
        </w:rPr>
        <w:t>ýběrového</w:t>
      </w:r>
      <w:proofErr w:type="spellEnd"/>
      <w:r w:rsidRPr="00F97ED3">
        <w:rPr>
          <w:rFonts w:ascii="Calibri" w:hAnsi="Calibri"/>
          <w:sz w:val="18"/>
          <w:szCs w:val="18"/>
          <w:lang w:val="x-none"/>
        </w:rPr>
        <w:t xml:space="preserve"> </w:t>
      </w:r>
      <w:proofErr w:type="spellStart"/>
      <w:r w:rsidRPr="00F97ED3">
        <w:rPr>
          <w:rFonts w:ascii="Calibri" w:hAnsi="Calibri"/>
          <w:sz w:val="18"/>
          <w:szCs w:val="18"/>
        </w:rPr>
        <w:t>vícekolového</w:t>
      </w:r>
      <w:proofErr w:type="spellEnd"/>
      <w:r w:rsidRPr="00F97ED3">
        <w:rPr>
          <w:rFonts w:ascii="Calibri" w:hAnsi="Calibri"/>
          <w:sz w:val="18"/>
          <w:szCs w:val="18"/>
        </w:rPr>
        <w:t xml:space="preserve">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B7062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V případě, že u konkrétního VVŘ jsou v systému zveřejněny jiné podmínky VVŘ, nežli podmínky uvedené výše v odstavcích 1) 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pak se toto konkrétní VVŘ řídí podmínkami uvedenými u takového konkrétního VVŘ, </w:t>
      </w:r>
      <w:r w:rsidRPr="00F97ED3">
        <w:rPr>
          <w:rFonts w:ascii="Calibri" w:eastAsia="Calibri" w:hAnsi="Calibri" w:cs="Open Sans"/>
          <w:bCs/>
          <w:color w:val="000000"/>
          <w:sz w:val="18"/>
          <w:szCs w:val="18"/>
          <w:lang w:eastAsia="en-US"/>
        </w:rPr>
        <w:lastRenderedPageBreak/>
        <w:t>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kupní cena je cenou dosaženou ve VVŘ sníženou o základní odměnu (provizi) provozovatele vypočtenou podle podmínek stanovených předem v konkrétním VVŘ, a to v případě, kdy vítěz VVŘ má povinnost platit provozovateli </w:t>
      </w:r>
      <w:r w:rsidRPr="00F97ED3">
        <w:rPr>
          <w:rFonts w:ascii="Calibri" w:eastAsia="Calibri" w:hAnsi="Calibri" w:cs="Open Sans"/>
          <w:bCs/>
          <w:color w:val="000000"/>
          <w:sz w:val="18"/>
          <w:szCs w:val="18"/>
          <w:lang w:eastAsia="en-US"/>
        </w:rPr>
        <w:lastRenderedPageBreak/>
        <w:t>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Bez ohledu na to, zda je v systému uveřejněn vzor kupní smlouvy shora uvedeným způsobem, je účastník VVŘ – </w:t>
      </w:r>
      <w:r w:rsidRPr="00F97ED3">
        <w:rPr>
          <w:rFonts w:ascii="Calibri" w:eastAsia="Calibri" w:hAnsi="Calibri" w:cs="Open Sans"/>
          <w:bCs/>
          <w:color w:val="000000"/>
          <w:sz w:val="18"/>
          <w:szCs w:val="18"/>
          <w:lang w:eastAsia="en-US"/>
        </w:rPr>
        <w:lastRenderedPageBreak/>
        <w:t>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2">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3">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15"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w:t>
      </w:r>
      <w:r w:rsidRPr="00F97ED3">
        <w:rPr>
          <w:rFonts w:ascii="Calibri" w:eastAsia="Calibri" w:hAnsi="Calibri" w:cs="Open Sans"/>
          <w:color w:val="000000"/>
          <w:sz w:val="18"/>
          <w:szCs w:val="18"/>
          <w:lang w:eastAsia="en-US"/>
        </w:rPr>
        <w:lastRenderedPageBreak/>
        <w:t xml:space="preserve">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lastRenderedPageBreak/>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w:t>
      </w:r>
      <w:proofErr w:type="spellStart"/>
      <w:r w:rsidRPr="00F97ED3">
        <w:rPr>
          <w:rFonts w:ascii="Calibri" w:eastAsia="Calibri" w:hAnsi="Calibri" w:cs="Open Sans"/>
          <w:bCs/>
          <w:color w:val="000000"/>
          <w:sz w:val="18"/>
          <w:szCs w:val="18"/>
          <w:lang w:eastAsia="en-US"/>
        </w:rPr>
        <w:t>předvybraných</w:t>
      </w:r>
      <w:proofErr w:type="spellEnd"/>
      <w:r w:rsidRPr="00F97ED3">
        <w:rPr>
          <w:rFonts w:ascii="Calibri" w:eastAsia="Calibri" w:hAnsi="Calibri" w:cs="Open Sans"/>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lastRenderedPageBreak/>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jednání o uzavření kupní smlouvy ukončil, aniž pro to má spravedlivý důvod, jednal by uživatel nepoctivě a vzniká mu tímto </w:t>
      </w:r>
      <w:r w:rsidRPr="00F97ED3">
        <w:rPr>
          <w:rFonts w:ascii="Calibri" w:eastAsia="Calibri" w:hAnsi="Calibri" w:cs="Open Sans"/>
          <w:bCs/>
          <w:color w:val="000000"/>
          <w:sz w:val="18"/>
          <w:szCs w:val="18"/>
          <w:lang w:eastAsia="en-US"/>
        </w:rPr>
        <w:lastRenderedPageBreak/>
        <w:t>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 xml:space="preserve">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w:t>
      </w:r>
      <w:r w:rsidRPr="00F97ED3">
        <w:rPr>
          <w:rFonts w:ascii="Calibri" w:eastAsia="Calibri" w:hAnsi="Calibri" w:cs="Open Sans"/>
          <w:bCs/>
          <w:color w:val="000000"/>
          <w:sz w:val="18"/>
          <w:szCs w:val="18"/>
          <w:lang w:eastAsia="en-US"/>
        </w:rPr>
        <w:lastRenderedPageBreak/>
        <w:t>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w:t>
      </w:r>
      <w:r w:rsidRPr="00F97ED3">
        <w:rPr>
          <w:rFonts w:ascii="Calibri" w:eastAsia="Calibri" w:hAnsi="Calibri" w:cs="Open Sans"/>
          <w:bCs/>
          <w:color w:val="000000"/>
          <w:sz w:val="18"/>
          <w:szCs w:val="18"/>
          <w:lang w:eastAsia="en-US"/>
        </w:rPr>
        <w:lastRenderedPageBreak/>
        <w:t xml:space="preserve">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D516FE">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nejpozději však do 60-ti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AU bez dalšího vždy bez nalezení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AU má těmito podmínkami </w:t>
      </w:r>
      <w:r w:rsidRPr="00F97ED3">
        <w:rPr>
          <w:rFonts w:ascii="Calibri" w:eastAsia="Calibri" w:hAnsi="Calibri" w:cs="Open Sans"/>
          <w:bCs/>
          <w:color w:val="000000"/>
          <w:sz w:val="18"/>
          <w:szCs w:val="18"/>
          <w:lang w:eastAsia="en-US"/>
        </w:rPr>
        <w:lastRenderedPageBreak/>
        <w:t>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7">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8">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w:t>
      </w:r>
      <w:r w:rsidRPr="00F97ED3">
        <w:rPr>
          <w:rFonts w:ascii="Calibri" w:eastAsia="Calibri" w:hAnsi="Calibri" w:cs="Calibri"/>
          <w:color w:val="000000"/>
          <w:sz w:val="18"/>
          <w:szCs w:val="18"/>
          <w:lang w:eastAsia="en-US"/>
        </w:rPr>
        <w:lastRenderedPageBreak/>
        <w:t>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0"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w:t>
      </w:r>
      <w:r w:rsidRPr="00F97ED3">
        <w:rPr>
          <w:rFonts w:ascii="Calibri" w:eastAsia="Calibri" w:hAnsi="Calibri" w:cs="Open Sans"/>
          <w:color w:val="000000"/>
          <w:sz w:val="18"/>
          <w:szCs w:val="18"/>
          <w:lang w:eastAsia="en-US"/>
        </w:rPr>
        <w:lastRenderedPageBreak/>
        <w:t>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38D35FD3" w14:textId="6BCCF139"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w:t>
      </w:r>
      <w:r w:rsidR="006934C2" w:rsidRPr="006934C2">
        <w:rPr>
          <w:b/>
          <w:bCs/>
          <w:color w:val="000000"/>
        </w:rPr>
        <w:t xml:space="preserve">Vyhledávacího řízení (v aplikaci </w:t>
      </w:r>
      <w:r w:rsidR="006934C2" w:rsidRPr="006C47F9">
        <w:rPr>
          <w:b/>
          <w:bCs/>
          <w:color w:val="000000"/>
        </w:rPr>
        <w:t xml:space="preserve">ZEGS) </w:t>
      </w:r>
      <w:r w:rsidRPr="006C47F9">
        <w:rPr>
          <w:b/>
          <w:bCs/>
          <w:color w:val="000000"/>
        </w:rPr>
        <w:t xml:space="preserve">č. </w:t>
      </w:r>
      <w:r w:rsidR="006C47F9" w:rsidRPr="006C47F9">
        <w:rPr>
          <w:b/>
          <w:bCs/>
          <w:color w:val="000000"/>
        </w:rPr>
        <w:t>A759</w:t>
      </w:r>
      <w:r w:rsidR="00346911">
        <w:rPr>
          <w:b/>
          <w:bCs/>
          <w:color w:val="000000"/>
        </w:rPr>
        <w:t>7</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451884D2" w14:textId="63E527F1" w:rsidR="00037111" w:rsidRPr="00037111" w:rsidRDefault="00037111" w:rsidP="00037111">
      <w:pPr>
        <w:widowControl w:val="0"/>
        <w:shd w:val="clear" w:color="auto" w:fill="FFFFFF"/>
        <w:jc w:val="center"/>
        <w:rPr>
          <w:rFonts w:ascii="Calibri" w:hAnsi="Calibri"/>
          <w:b/>
          <w:bCs/>
          <w:color w:val="000000"/>
        </w:rPr>
      </w:pPr>
      <w:r w:rsidRPr="00037111">
        <w:rPr>
          <w:rFonts w:ascii="Calibri" w:hAnsi="Calibri"/>
          <w:b/>
          <w:bCs/>
          <w:color w:val="000000"/>
        </w:rPr>
        <w:t>Tyto Zvláštní podmínky se vztahují na Vyhledávací řízení č. A759</w:t>
      </w:r>
      <w:r w:rsidR="00346911">
        <w:rPr>
          <w:rFonts w:ascii="Calibri" w:hAnsi="Calibri"/>
          <w:b/>
          <w:bCs/>
          <w:color w:val="000000"/>
        </w:rPr>
        <w:t>7</w:t>
      </w:r>
      <w:r w:rsidRPr="00037111">
        <w:rPr>
          <w:rFonts w:ascii="Calibri" w:hAnsi="Calibri"/>
          <w:b/>
          <w:bCs/>
          <w:color w:val="000000"/>
        </w:rPr>
        <w:t xml:space="preserve"> konané provozovatelem níže uvedeným v aplikaci ZEGS na adrese </w:t>
      </w:r>
      <w:hyperlink w:history="1">
        <w:r w:rsidRPr="00037111">
          <w:rPr>
            <w:rFonts w:ascii="Calibri" w:hAnsi="Calibri"/>
            <w:b/>
            <w:bCs/>
            <w:color w:val="800080"/>
            <w:u w:val="single"/>
          </w:rPr>
          <w:t>www.verejnedrazby.cz</w:t>
        </w:r>
      </w:hyperlink>
      <w:r w:rsidRPr="00037111">
        <w:rPr>
          <w:rFonts w:ascii="Calibri" w:hAnsi="Calibri"/>
          <w:b/>
          <w:bCs/>
          <w:color w:val="000000"/>
        </w:rPr>
        <w:t>. Toto Vyhledávací řízení je dále v textu označováno také jen jako „Vyhledávací řízení“.</w:t>
      </w:r>
    </w:p>
    <w:p w14:paraId="58AC4D2C" w14:textId="77777777" w:rsidR="00037111" w:rsidRPr="00037111" w:rsidRDefault="00037111" w:rsidP="00037111">
      <w:pPr>
        <w:widowControl w:val="0"/>
        <w:shd w:val="clear" w:color="auto" w:fill="FFFFFF"/>
        <w:jc w:val="center"/>
        <w:rPr>
          <w:rFonts w:ascii="Calibri" w:hAnsi="Calibri"/>
          <w:b/>
          <w:bCs/>
          <w:color w:val="000000"/>
        </w:rPr>
      </w:pPr>
    </w:p>
    <w:p w14:paraId="65196580"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1A57DB82" w14:textId="77777777" w:rsidR="00037111" w:rsidRPr="00037111" w:rsidRDefault="00037111" w:rsidP="00037111">
      <w:pPr>
        <w:widowControl w:val="0"/>
        <w:shd w:val="clear" w:color="auto" w:fill="FFFFFF"/>
        <w:rPr>
          <w:rFonts w:ascii="Calibri" w:hAnsi="Calibri"/>
          <w:bCs/>
          <w:color w:val="000000"/>
          <w:sz w:val="18"/>
          <w:szCs w:val="18"/>
        </w:rPr>
      </w:pPr>
    </w:p>
    <w:p w14:paraId="378CD54E"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Identifikační údaje pořadatele Vyhledávacího řízení:</w:t>
      </w:r>
    </w:p>
    <w:p w14:paraId="30DFEB5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
          <w:bCs/>
          <w:color w:val="000000"/>
          <w:sz w:val="18"/>
          <w:szCs w:val="18"/>
        </w:rPr>
        <w:t xml:space="preserve">Provozovatel: </w:t>
      </w:r>
      <w:r w:rsidRPr="00037111">
        <w:rPr>
          <w:rFonts w:ascii="Calibri" w:hAnsi="Calibri"/>
          <w:bCs/>
          <w:color w:val="000000"/>
          <w:sz w:val="18"/>
          <w:szCs w:val="18"/>
        </w:rPr>
        <w:t>GAUTE, a.s.</w:t>
      </w:r>
      <w:r w:rsidRPr="00037111">
        <w:rPr>
          <w:rFonts w:ascii="Calibri" w:hAnsi="Calibri"/>
          <w:bCs/>
          <w:color w:val="000000"/>
          <w:sz w:val="18"/>
          <w:szCs w:val="18"/>
        </w:rPr>
        <w:br/>
      </w:r>
      <w:r w:rsidRPr="00037111">
        <w:rPr>
          <w:rFonts w:ascii="Calibri" w:hAnsi="Calibri"/>
          <w:b/>
          <w:bCs/>
          <w:color w:val="000000"/>
          <w:sz w:val="18"/>
          <w:szCs w:val="18"/>
        </w:rPr>
        <w:t xml:space="preserve">Sídlo: </w:t>
      </w:r>
      <w:r w:rsidRPr="00037111">
        <w:rPr>
          <w:rFonts w:ascii="Calibri" w:hAnsi="Calibri"/>
          <w:bCs/>
          <w:color w:val="000000"/>
          <w:sz w:val="18"/>
          <w:szCs w:val="18"/>
        </w:rPr>
        <w:t>Lidická 26/2006, Brno</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IČO: </w:t>
      </w:r>
      <w:r w:rsidRPr="00037111">
        <w:rPr>
          <w:rFonts w:ascii="Calibri" w:hAnsi="Calibri"/>
          <w:bCs/>
          <w:color w:val="000000"/>
          <w:sz w:val="18"/>
          <w:szCs w:val="18"/>
        </w:rPr>
        <w:t>25543709</w:t>
      </w:r>
      <w:r w:rsidRPr="00037111">
        <w:rPr>
          <w:rFonts w:ascii="Calibri" w:hAnsi="Calibri"/>
          <w:bCs/>
          <w:color w:val="000000"/>
          <w:sz w:val="18"/>
          <w:szCs w:val="18"/>
        </w:rPr>
        <w:br/>
      </w:r>
      <w:r w:rsidRPr="00037111">
        <w:rPr>
          <w:rFonts w:ascii="Calibri" w:hAnsi="Calibri"/>
          <w:b/>
          <w:bCs/>
          <w:color w:val="000000"/>
          <w:sz w:val="18"/>
          <w:szCs w:val="18"/>
        </w:rPr>
        <w:t xml:space="preserve">DIČ: </w:t>
      </w:r>
      <w:r w:rsidRPr="00037111">
        <w:rPr>
          <w:rFonts w:ascii="Calibri" w:hAnsi="Calibri"/>
          <w:bCs/>
          <w:color w:val="000000"/>
          <w:sz w:val="18"/>
          <w:szCs w:val="18"/>
        </w:rPr>
        <w:t>CZ 25543709</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E-mail: </w:t>
      </w:r>
      <w:r w:rsidRPr="00037111">
        <w:rPr>
          <w:rFonts w:ascii="Calibri" w:hAnsi="Calibri"/>
          <w:bCs/>
          <w:color w:val="000000"/>
          <w:sz w:val="18"/>
          <w:szCs w:val="18"/>
        </w:rPr>
        <w:t>gaute@gaute.cz</w:t>
      </w:r>
    </w:p>
    <w:p w14:paraId="1953AEC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„pořadatel“ či „provozovatel“)</w:t>
      </w:r>
    </w:p>
    <w:p w14:paraId="3A643FFD" w14:textId="77777777" w:rsidR="00037111" w:rsidRPr="00037111" w:rsidRDefault="00037111" w:rsidP="00037111">
      <w:pPr>
        <w:widowControl w:val="0"/>
        <w:shd w:val="clear" w:color="auto" w:fill="FFFFFF"/>
        <w:rPr>
          <w:rFonts w:ascii="Calibri" w:hAnsi="Calibri"/>
          <w:bCs/>
          <w:color w:val="000000"/>
          <w:sz w:val="18"/>
          <w:szCs w:val="18"/>
        </w:rPr>
      </w:pPr>
    </w:p>
    <w:p w14:paraId="32F79BE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jedné</w:t>
      </w:r>
    </w:p>
    <w:p w14:paraId="6024182C" w14:textId="77777777" w:rsidR="00037111" w:rsidRPr="00037111" w:rsidRDefault="00037111" w:rsidP="00037111">
      <w:pPr>
        <w:widowControl w:val="0"/>
        <w:shd w:val="clear" w:color="auto" w:fill="FFFFFF"/>
        <w:rPr>
          <w:rFonts w:ascii="Calibri" w:hAnsi="Calibri"/>
          <w:bCs/>
          <w:color w:val="000000"/>
          <w:sz w:val="18"/>
          <w:szCs w:val="18"/>
        </w:rPr>
      </w:pPr>
    </w:p>
    <w:p w14:paraId="63C03F7A"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a</w:t>
      </w:r>
    </w:p>
    <w:p w14:paraId="61500FF3" w14:textId="77777777" w:rsidR="00037111" w:rsidRPr="00037111" w:rsidRDefault="00037111" w:rsidP="00037111">
      <w:pPr>
        <w:widowControl w:val="0"/>
        <w:shd w:val="clear" w:color="auto" w:fill="FFFFFF"/>
        <w:rPr>
          <w:rFonts w:ascii="Calibri" w:hAnsi="Calibri"/>
          <w:bCs/>
          <w:color w:val="000000"/>
          <w:sz w:val="18"/>
          <w:szCs w:val="18"/>
        </w:rPr>
      </w:pPr>
    </w:p>
    <w:p w14:paraId="5780B4F1"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 xml:space="preserve">uživatel ve smyslu aktuálních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p>
    <w:p w14:paraId="7FAA6F51"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„uživatel“)</w:t>
      </w:r>
    </w:p>
    <w:p w14:paraId="487D7A99" w14:textId="77777777" w:rsidR="00037111" w:rsidRPr="00037111" w:rsidRDefault="00037111" w:rsidP="00037111">
      <w:pPr>
        <w:widowControl w:val="0"/>
        <w:shd w:val="clear" w:color="auto" w:fill="FFFFFF"/>
        <w:rPr>
          <w:rFonts w:ascii="Calibri" w:hAnsi="Calibri"/>
          <w:bCs/>
          <w:color w:val="000000"/>
          <w:sz w:val="18"/>
          <w:szCs w:val="18"/>
        </w:rPr>
      </w:pPr>
    </w:p>
    <w:p w14:paraId="10D5294F"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druhé</w:t>
      </w:r>
    </w:p>
    <w:p w14:paraId="5C9E7A7D" w14:textId="77777777" w:rsidR="00037111" w:rsidRPr="00037111" w:rsidRDefault="00037111" w:rsidP="00037111">
      <w:pPr>
        <w:widowControl w:val="0"/>
        <w:shd w:val="clear" w:color="auto" w:fill="FFFFFF"/>
        <w:jc w:val="center"/>
        <w:rPr>
          <w:rFonts w:ascii="Calibri" w:hAnsi="Calibri"/>
          <w:b/>
          <w:bCs/>
          <w:color w:val="000000"/>
          <w:sz w:val="18"/>
          <w:szCs w:val="18"/>
        </w:rPr>
      </w:pPr>
    </w:p>
    <w:p w14:paraId="46CDEF7E"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dle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C3ADE19"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jako Výběrové </w:t>
      </w:r>
      <w:proofErr w:type="spellStart"/>
      <w:r w:rsidRPr="00037111">
        <w:rPr>
          <w:rFonts w:ascii="Calibri" w:hAnsi="Calibri"/>
          <w:bCs/>
          <w:color w:val="000000"/>
          <w:sz w:val="18"/>
          <w:szCs w:val="18"/>
        </w:rPr>
        <w:t>vícekolové</w:t>
      </w:r>
      <w:proofErr w:type="spellEnd"/>
      <w:r w:rsidRPr="00037111">
        <w:rPr>
          <w:rFonts w:ascii="Calibri" w:hAnsi="Calibri"/>
          <w:bCs/>
          <w:color w:val="000000"/>
          <w:sz w:val="18"/>
          <w:szCs w:val="18"/>
        </w:rPr>
        <w:t xml:space="preserve"> řízení (VVŘ) - Výběrové řízení – 3 kola, s 3 kolem v podobě AU (Uzavřené aukce) – dále jen „</w:t>
      </w:r>
      <w:r w:rsidRPr="00037111">
        <w:rPr>
          <w:rFonts w:ascii="Calibri" w:hAnsi="Calibri"/>
          <w:b/>
          <w:color w:val="000000"/>
          <w:sz w:val="18"/>
          <w:szCs w:val="18"/>
        </w:rPr>
        <w:t>VVŘ</w:t>
      </w:r>
      <w:r w:rsidRPr="00037111">
        <w:rPr>
          <w:rFonts w:ascii="Calibri" w:hAnsi="Calibri"/>
          <w:bCs/>
          <w:color w:val="000000"/>
          <w:sz w:val="18"/>
          <w:szCs w:val="18"/>
        </w:rPr>
        <w:t xml:space="preserve">“. Průběh VVŘ je podrobně popsán v Obecných podmínkách (blíže viz Obchodní podmínky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w:t>
      </w:r>
    </w:p>
    <w:p w14:paraId="2795648A"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Provozovatel vyžaduje složení kauce. Kauce musí být složena nejpozději do skončení 1. kola VVŘ. Je vyžadováno uzavření smlouvy o složení kauce.</w:t>
      </w:r>
    </w:p>
    <w:p w14:paraId="68FD2E7C" w14:textId="77777777" w:rsidR="00037111" w:rsidRPr="00037111" w:rsidRDefault="00037111" w:rsidP="00037111">
      <w:pPr>
        <w:widowControl w:val="0"/>
        <w:shd w:val="clear" w:color="auto" w:fill="FFFFFF"/>
        <w:ind w:left="357"/>
        <w:jc w:val="both"/>
        <w:rPr>
          <w:rFonts w:ascii="Calibri" w:hAnsi="Calibri"/>
          <w:bCs/>
          <w:color w:val="000000"/>
          <w:sz w:val="18"/>
          <w:szCs w:val="18"/>
        </w:rPr>
      </w:pPr>
      <w:r w:rsidRPr="00037111">
        <w:rPr>
          <w:rFonts w:ascii="Calibri" w:hAnsi="Calibri"/>
          <w:bCs/>
          <w:color w:val="000000"/>
          <w:sz w:val="18"/>
          <w:szCs w:val="18"/>
        </w:rPr>
        <w:t xml:space="preserve">Další podmínky skládání kauce: </w:t>
      </w:r>
    </w:p>
    <w:p w14:paraId="4DD1F16F" w14:textId="77777777" w:rsidR="00037111" w:rsidRPr="00037111" w:rsidRDefault="00037111" w:rsidP="00AF7139">
      <w:pPr>
        <w:widowControl w:val="0"/>
        <w:numPr>
          <w:ilvl w:val="0"/>
          <w:numId w:val="35"/>
        </w:numPr>
        <w:shd w:val="clear" w:color="auto" w:fill="FFFFFF"/>
        <w:spacing w:before="120" w:after="240"/>
        <w:ind w:left="426" w:firstLine="0"/>
        <w:jc w:val="both"/>
        <w:rPr>
          <w:rFonts w:ascii="Calibri" w:hAnsi="Calibri"/>
          <w:bCs/>
          <w:color w:val="000000"/>
          <w:sz w:val="18"/>
          <w:szCs w:val="18"/>
        </w:rPr>
      </w:pPr>
      <w:r w:rsidRPr="00037111">
        <w:rPr>
          <w:rFonts w:ascii="Calibri" w:hAnsi="Calibri"/>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037111">
        <w:t xml:space="preserve"> </w:t>
      </w:r>
      <w:r w:rsidRPr="00037111">
        <w:rPr>
          <w:rFonts w:ascii="Calibri" w:hAnsi="Calibri"/>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3FA922C3" w14:textId="77777777" w:rsidR="00037111" w:rsidRPr="00037111" w:rsidRDefault="00037111" w:rsidP="00037111">
      <w:pPr>
        <w:widowControl w:val="0"/>
        <w:shd w:val="clear" w:color="auto" w:fill="FFFFFF"/>
        <w:ind w:firstLine="357"/>
        <w:jc w:val="both"/>
        <w:rPr>
          <w:rFonts w:ascii="Calibri" w:hAnsi="Calibri"/>
          <w:b/>
          <w:bCs/>
          <w:color w:val="000000"/>
          <w:sz w:val="18"/>
          <w:szCs w:val="18"/>
        </w:rPr>
      </w:pPr>
      <w:r w:rsidRPr="00037111">
        <w:rPr>
          <w:rFonts w:ascii="Calibri" w:hAnsi="Calibri"/>
          <w:b/>
          <w:bCs/>
          <w:color w:val="000000"/>
          <w:sz w:val="18"/>
          <w:szCs w:val="18"/>
        </w:rPr>
        <w:t>Číslo účtu majetkové podstaty pro platbu kauce:</w:t>
      </w:r>
    </w:p>
    <w:p w14:paraId="56A77080" w14:textId="77777777" w:rsidR="00037111" w:rsidRPr="00037111" w:rsidRDefault="00037111" w:rsidP="00037111">
      <w:pPr>
        <w:widowControl w:val="0"/>
        <w:shd w:val="clear" w:color="auto" w:fill="FFFFFF"/>
        <w:jc w:val="both"/>
        <w:rPr>
          <w:rFonts w:ascii="Calibri" w:hAnsi="Calibri"/>
          <w:sz w:val="18"/>
          <w:szCs w:val="18"/>
        </w:rPr>
      </w:pPr>
    </w:p>
    <w:p w14:paraId="7093BA49"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 xml:space="preserve">Číslo účtu: </w:t>
      </w:r>
      <w:r w:rsidRPr="00037111">
        <w:rPr>
          <w:rFonts w:ascii="Calibri" w:hAnsi="Calibri"/>
          <w:b/>
          <w:bCs/>
          <w:sz w:val="18"/>
          <w:szCs w:val="18"/>
        </w:rPr>
        <w:t>1161004218/2700</w:t>
      </w:r>
    </w:p>
    <w:p w14:paraId="6E5E6FEA"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Měna účtu: CZK</w:t>
      </w:r>
    </w:p>
    <w:p w14:paraId="37F84557" w14:textId="77777777" w:rsidR="00037111" w:rsidRPr="00037111" w:rsidRDefault="00037111" w:rsidP="00037111">
      <w:pPr>
        <w:widowControl w:val="0"/>
        <w:shd w:val="clear" w:color="auto" w:fill="FFFFFF"/>
        <w:ind w:firstLine="357"/>
        <w:jc w:val="both"/>
        <w:rPr>
          <w:rFonts w:ascii="Calibri" w:hAnsi="Calibri"/>
          <w:sz w:val="18"/>
          <w:szCs w:val="18"/>
          <w:highlight w:val="yellow"/>
        </w:rPr>
      </w:pPr>
      <w:r w:rsidRPr="00037111">
        <w:rPr>
          <w:rFonts w:ascii="Calibri" w:hAnsi="Calibri"/>
          <w:sz w:val="18"/>
          <w:szCs w:val="18"/>
        </w:rPr>
        <w:lastRenderedPageBreak/>
        <w:t xml:space="preserve">Banka: </w:t>
      </w:r>
      <w:proofErr w:type="spellStart"/>
      <w:r w:rsidRPr="00037111">
        <w:rPr>
          <w:rFonts w:ascii="Calibri" w:hAnsi="Calibri"/>
          <w:sz w:val="18"/>
          <w:szCs w:val="18"/>
        </w:rPr>
        <w:t>UniCredit</w:t>
      </w:r>
      <w:proofErr w:type="spellEnd"/>
      <w:r w:rsidRPr="00037111">
        <w:rPr>
          <w:rFonts w:ascii="Calibri" w:hAnsi="Calibri"/>
          <w:sz w:val="18"/>
          <w:szCs w:val="18"/>
        </w:rPr>
        <w:t xml:space="preserve"> Bank Czech Republic and Slovakia, a.s.</w:t>
      </w:r>
    </w:p>
    <w:p w14:paraId="4A88F2A5"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SWIFT (BIC): BACXCZPP</w:t>
      </w:r>
    </w:p>
    <w:p w14:paraId="02D18E32"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IBAN: CZ3927000000001161004218</w:t>
      </w:r>
    </w:p>
    <w:p w14:paraId="3C48B702" w14:textId="77777777" w:rsidR="00037111" w:rsidRPr="00037111" w:rsidRDefault="00037111" w:rsidP="00037111">
      <w:pPr>
        <w:widowControl w:val="0"/>
        <w:shd w:val="clear" w:color="auto" w:fill="FFFFFF"/>
        <w:ind w:firstLine="357"/>
        <w:jc w:val="both"/>
        <w:rPr>
          <w:rFonts w:ascii="Calibri" w:hAnsi="Calibri"/>
          <w:sz w:val="18"/>
          <w:szCs w:val="18"/>
        </w:rPr>
      </w:pPr>
    </w:p>
    <w:p w14:paraId="4CA18CF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037111">
        <w:rPr>
          <w:rFonts w:ascii="Calibri" w:hAnsi="Calibri"/>
          <w:b/>
          <w:bCs/>
          <w:color w:val="000000"/>
          <w:sz w:val="18"/>
          <w:szCs w:val="18"/>
        </w:rPr>
        <w:t>Provozovatel je povinen umožnit účast uživateli ve VVŘ nejpozději následující pracovní den po složení kauce v případě složení kauce převodem na účet majetkové podstaty.</w:t>
      </w:r>
      <w:r w:rsidRPr="00037111">
        <w:rPr>
          <w:rFonts w:ascii="Calibri" w:hAnsi="Calibri"/>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43022D1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0AA40B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037111">
        <w:rPr>
          <w:rFonts w:ascii="Calibri" w:hAnsi="Calibri"/>
          <w:bCs/>
          <w:color w:val="000000"/>
          <w:sz w:val="18"/>
          <w:szCs w:val="18"/>
        </w:rPr>
        <w:t>ust</w:t>
      </w:r>
      <w:proofErr w:type="spellEnd"/>
      <w:r w:rsidRPr="00037111">
        <w:rPr>
          <w:rFonts w:ascii="Calibri" w:hAnsi="Calibri"/>
          <w:bCs/>
          <w:color w:val="000000"/>
          <w:sz w:val="18"/>
          <w:szCs w:val="18"/>
        </w:rPr>
        <w:t>. §§ 8 a 9 zákona č. 253/2008 Sb., zákon o některých opatřeních proti legalizaci výnosů z trestné činnosti a financování terorismu, ve znění pozdějších předpisů.</w:t>
      </w:r>
    </w:p>
    <w:p w14:paraId="15DAC16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2552FDD4" w14:textId="77777777" w:rsidR="00037111" w:rsidRPr="00037111" w:rsidRDefault="00037111" w:rsidP="00AF7139">
      <w:pPr>
        <w:numPr>
          <w:ilvl w:val="0"/>
          <w:numId w:val="22"/>
        </w:numPr>
        <w:spacing w:before="120" w:after="240"/>
        <w:ind w:left="426" w:hanging="426"/>
        <w:jc w:val="both"/>
        <w:rPr>
          <w:rFonts w:ascii="Calibri" w:hAnsi="Calibri"/>
          <w:sz w:val="18"/>
          <w:szCs w:val="18"/>
        </w:rPr>
      </w:pPr>
      <w:r w:rsidRPr="00037111">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6D7B68BD"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rFonts w:ascii="Calibri" w:hAnsi="Calibri"/>
          <w:bCs/>
          <w:color w:val="000000"/>
          <w:sz w:val="18"/>
          <w:szCs w:val="18"/>
        </w:rPr>
      </w:pPr>
      <w:r w:rsidRPr="00037111">
        <w:rPr>
          <w:rFonts w:ascii="Calibri" w:hAnsi="Calibri"/>
          <w:bCs/>
          <w:color w:val="000000"/>
          <w:sz w:val="18"/>
          <w:szCs w:val="18"/>
        </w:rPr>
        <w:t>Veškeré spory vzniklé z těchto Zvláštních podmínek a v souvislosti s nimi budou projednávány v pravomoci soudů dle právního řádu České republiky.</w:t>
      </w:r>
    </w:p>
    <w:p w14:paraId="695654F1"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iCs/>
          <w:color w:val="000000"/>
          <w:sz w:val="18"/>
          <w:szCs w:val="18"/>
        </w:rPr>
        <w:t>Ve smyslu § 14 zákona č. 634/1992 Sb.,</w:t>
      </w:r>
      <w:r w:rsidRPr="00037111">
        <w:rPr>
          <w:rFonts w:ascii="Calibri" w:hAnsi="Calibri"/>
          <w:sz w:val="18"/>
          <w:szCs w:val="18"/>
        </w:rPr>
        <w:t xml:space="preserve"> </w:t>
      </w:r>
      <w:r w:rsidRPr="00037111">
        <w:rPr>
          <w:rFonts w:ascii="Calibri" w:hAnsi="Calibri"/>
          <w:iCs/>
          <w:color w:val="000000"/>
          <w:sz w:val="18"/>
          <w:szCs w:val="18"/>
        </w:rPr>
        <w:t>o ochraně spotřebitele, ve znění pozdějších předpisů, provozovatel informuje</w:t>
      </w:r>
      <w:r w:rsidRPr="00037111">
        <w:rPr>
          <w:rFonts w:ascii="Calibri" w:hAnsi="Calibri"/>
          <w:bCs/>
          <w:iCs/>
          <w:color w:val="000000"/>
          <w:sz w:val="18"/>
          <w:szCs w:val="18"/>
        </w:rPr>
        <w:t xml:space="preserve"> zákazníka – uživatele v postavení spotřebitele, že při řešení případného sporu plynoucího ze vztahů založených účastí ve VVŘ dle těchto </w:t>
      </w:r>
      <w:r w:rsidRPr="00037111">
        <w:rPr>
          <w:rFonts w:ascii="Calibri" w:hAnsi="Calibri"/>
          <w:bCs/>
          <w:color w:val="000000"/>
          <w:sz w:val="18"/>
          <w:szCs w:val="18"/>
        </w:rPr>
        <w:t xml:space="preserve">Zvláštních podmínek </w:t>
      </w:r>
      <w:r w:rsidRPr="00037111">
        <w:rPr>
          <w:rFonts w:ascii="Calibri" w:hAnsi="Calibri"/>
          <w:bCs/>
          <w:iCs/>
          <w:color w:val="000000"/>
          <w:sz w:val="18"/>
          <w:szCs w:val="18"/>
        </w:rPr>
        <w:t>může využít možnost mimosoudního řešení sporu</w:t>
      </w:r>
      <w:r w:rsidRPr="00037111">
        <w:rPr>
          <w:rFonts w:ascii="Calibri" w:hAnsi="Calibri"/>
          <w:iCs/>
          <w:color w:val="000000"/>
          <w:sz w:val="18"/>
          <w:szCs w:val="18"/>
        </w:rPr>
        <w:t xml:space="preserve">. Orgánem, na který se uživatel může obrátit, je </w:t>
      </w:r>
      <w:r w:rsidRPr="00037111">
        <w:rPr>
          <w:rFonts w:ascii="Calibri" w:hAnsi="Calibri"/>
          <w:bCs/>
          <w:iCs/>
          <w:color w:val="000000"/>
          <w:sz w:val="18"/>
          <w:szCs w:val="18"/>
        </w:rPr>
        <w:t>Česká obchodní inspekce</w:t>
      </w:r>
      <w:r w:rsidRPr="00037111">
        <w:rPr>
          <w:rFonts w:ascii="Calibri" w:hAnsi="Calibri"/>
          <w:iCs/>
          <w:color w:val="000000"/>
          <w:sz w:val="18"/>
          <w:szCs w:val="18"/>
        </w:rPr>
        <w:t xml:space="preserve"> (ČOI – www.coi.cz). Uživatel podpisem těchto </w:t>
      </w:r>
      <w:r w:rsidRPr="00037111">
        <w:rPr>
          <w:rFonts w:ascii="Calibri" w:hAnsi="Calibri"/>
          <w:bCs/>
          <w:color w:val="000000"/>
          <w:sz w:val="18"/>
          <w:szCs w:val="18"/>
        </w:rPr>
        <w:t xml:space="preserve">Zvláštních podmínek </w:t>
      </w:r>
      <w:r w:rsidRPr="00037111">
        <w:rPr>
          <w:rFonts w:ascii="Calibri" w:hAnsi="Calibri"/>
          <w:iCs/>
          <w:color w:val="000000"/>
          <w:sz w:val="18"/>
          <w:szCs w:val="18"/>
        </w:rPr>
        <w:t>potvrzuje, že byl provozovatelem jasně a srozumitelně seznámen s touto skutečností a že této informaci porozuměl.</w:t>
      </w:r>
    </w:p>
    <w:p w14:paraId="39E6282B" w14:textId="02393FEF" w:rsidR="008E3787"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bCs/>
          <w:color w:val="000000"/>
          <w:sz w:val="18"/>
          <w:szCs w:val="18"/>
        </w:rPr>
        <w:t>Tyto Zvláštní podmínky nabývají platnosti dnem 14.2.2025</w:t>
      </w:r>
    </w:p>
    <w:p w14:paraId="2346EF07" w14:textId="5BE231C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5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0408506A" w14:textId="77777777" w:rsidR="00104DA2" w:rsidRPr="00F2162C" w:rsidRDefault="00104DA2" w:rsidP="00104DA2">
      <w:pPr>
        <w:widowControl w:val="0"/>
        <w:jc w:val="center"/>
        <w:rPr>
          <w:color w:val="000000"/>
          <w:sz w:val="40"/>
          <w:szCs w:val="40"/>
        </w:rPr>
      </w:pPr>
      <w:bookmarkStart w:id="4" w:name="_Hlk514848273"/>
      <w:r w:rsidRPr="00F2162C">
        <w:rPr>
          <w:color w:val="000000"/>
          <w:sz w:val="40"/>
          <w:szCs w:val="40"/>
        </w:rPr>
        <w:t>KUPNÍ SMLOUVA</w:t>
      </w:r>
    </w:p>
    <w:p w14:paraId="4E019BA5" w14:textId="77777777" w:rsidR="00104DA2" w:rsidRPr="00F2162C" w:rsidRDefault="00104DA2" w:rsidP="00104DA2">
      <w:pPr>
        <w:widowControl w:val="0"/>
        <w:jc w:val="center"/>
        <w:rPr>
          <w:b/>
          <w:bCs/>
          <w:sz w:val="24"/>
          <w:szCs w:val="24"/>
        </w:rPr>
      </w:pPr>
      <w:r w:rsidRPr="00F2162C">
        <w:rPr>
          <w:b/>
          <w:bCs/>
          <w:sz w:val="24"/>
          <w:szCs w:val="24"/>
        </w:rPr>
        <w:t xml:space="preserve">Tuto kupní smlouvu (dále jen „Smlouva“) v souladu s § </w:t>
      </w:r>
      <w:smartTag w:uri="urn:schemas-microsoft-com:office:smarttags" w:element="metricconverter">
        <w:smartTagPr>
          <w:attr w:name="ProductID" w:val="2079 a"/>
        </w:smartTagPr>
        <w:r w:rsidRPr="00F2162C">
          <w:rPr>
            <w:b/>
            <w:bCs/>
            <w:sz w:val="24"/>
            <w:szCs w:val="24"/>
          </w:rPr>
          <w:t>2079 a</w:t>
        </w:r>
      </w:smartTag>
      <w:r w:rsidRPr="00F2162C">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2EBCD811" w14:textId="77777777" w:rsidR="00104DA2" w:rsidRPr="00F2162C" w:rsidRDefault="00104DA2" w:rsidP="00104DA2">
      <w:pPr>
        <w:widowControl w:val="0"/>
        <w:tabs>
          <w:tab w:val="left" w:pos="709"/>
        </w:tabs>
        <w:jc w:val="both"/>
        <w:rPr>
          <w:b/>
          <w:sz w:val="22"/>
          <w:szCs w:val="22"/>
        </w:rPr>
      </w:pPr>
    </w:p>
    <w:p w14:paraId="1DB9D6D3" w14:textId="77777777" w:rsidR="00104DA2" w:rsidRPr="00F2162C" w:rsidRDefault="00104DA2" w:rsidP="00104DA2">
      <w:pPr>
        <w:widowControl w:val="0"/>
        <w:tabs>
          <w:tab w:val="left" w:pos="709"/>
        </w:tabs>
        <w:jc w:val="both"/>
        <w:rPr>
          <w:b/>
          <w:sz w:val="22"/>
          <w:szCs w:val="22"/>
        </w:rPr>
      </w:pPr>
    </w:p>
    <w:p w14:paraId="7D731D89" w14:textId="77777777" w:rsidR="00104DA2" w:rsidRPr="00104DA2" w:rsidRDefault="00104DA2" w:rsidP="00104DA2">
      <w:pPr>
        <w:widowControl w:val="0"/>
        <w:tabs>
          <w:tab w:val="left" w:pos="1418"/>
        </w:tabs>
        <w:rPr>
          <w:b/>
          <w:szCs w:val="22"/>
        </w:rPr>
      </w:pPr>
      <w:r w:rsidRPr="00104DA2">
        <w:rPr>
          <w:b/>
          <w:szCs w:val="22"/>
        </w:rPr>
        <w:t>Prodávající:</w:t>
      </w:r>
      <w:r w:rsidRPr="00104DA2">
        <w:rPr>
          <w:b/>
          <w:szCs w:val="22"/>
        </w:rPr>
        <w:tab/>
      </w:r>
      <w:bookmarkStart w:id="5" w:name="_Hlk491943953"/>
      <w:r w:rsidRPr="00104DA2">
        <w:rPr>
          <w:b/>
          <w:szCs w:val="22"/>
        </w:rPr>
        <w:t xml:space="preserve">TP Insolvence, v.o.s., </w:t>
      </w:r>
      <w:r w:rsidRPr="00104DA2">
        <w:rPr>
          <w:szCs w:val="22"/>
        </w:rPr>
        <w:t>IČ: 032 96 636</w:t>
      </w:r>
    </w:p>
    <w:p w14:paraId="44411C83" w14:textId="77777777" w:rsidR="00104DA2" w:rsidRPr="00104DA2" w:rsidRDefault="00104DA2" w:rsidP="00104DA2">
      <w:pPr>
        <w:widowControl w:val="0"/>
        <w:tabs>
          <w:tab w:val="left" w:pos="1418"/>
        </w:tabs>
        <w:rPr>
          <w:szCs w:val="22"/>
        </w:rPr>
      </w:pPr>
      <w:r w:rsidRPr="00104DA2">
        <w:rPr>
          <w:szCs w:val="22"/>
        </w:rPr>
        <w:tab/>
        <w:t>se sídlem Černokostelecká 281/7, 100 00 Praha 10</w:t>
      </w:r>
    </w:p>
    <w:p w14:paraId="10EF9E4A" w14:textId="77777777" w:rsidR="00104DA2" w:rsidRPr="00104DA2" w:rsidRDefault="00104DA2" w:rsidP="00104DA2">
      <w:pPr>
        <w:widowControl w:val="0"/>
        <w:tabs>
          <w:tab w:val="left" w:pos="1418"/>
        </w:tabs>
        <w:rPr>
          <w:szCs w:val="22"/>
        </w:rPr>
      </w:pPr>
      <w:r w:rsidRPr="00104DA2">
        <w:rPr>
          <w:szCs w:val="22"/>
        </w:rPr>
        <w:tab/>
        <w:t>zastoupena: JUDr. Ing. Šimonem Petákem, Ph.D. LL.M., ohlášený společník</w:t>
      </w:r>
    </w:p>
    <w:p w14:paraId="53984869" w14:textId="77777777" w:rsidR="00104DA2" w:rsidRPr="00104DA2" w:rsidRDefault="00104DA2" w:rsidP="00104DA2">
      <w:pPr>
        <w:widowControl w:val="0"/>
        <w:tabs>
          <w:tab w:val="left" w:pos="1418"/>
        </w:tabs>
        <w:ind w:left="1416"/>
        <w:rPr>
          <w:szCs w:val="22"/>
          <w:highlight w:val="yellow"/>
        </w:rPr>
      </w:pPr>
      <w:r w:rsidRPr="00104DA2">
        <w:rPr>
          <w:szCs w:val="22"/>
        </w:rPr>
        <w:t xml:space="preserve">na základě usnesení Krajského soudu v Ostravě č.j. KSOS 37 INS 10270/2024-A-25 ze dne 21.6.2024 insolvenční správce dlužníka: </w:t>
      </w:r>
      <w:proofErr w:type="spellStart"/>
      <w:r w:rsidRPr="00104DA2">
        <w:rPr>
          <w:szCs w:val="22"/>
        </w:rPr>
        <w:t>Liberty</w:t>
      </w:r>
      <w:proofErr w:type="spellEnd"/>
      <w:r w:rsidRPr="00104DA2">
        <w:rPr>
          <w:szCs w:val="22"/>
        </w:rPr>
        <w:t xml:space="preserve"> Ostrava a.s., IČ: 451 93 258, se sídlem Vratimovská 689/117, 719 00 Ostrava - Kunčice, zapsaného v obchodním rejstříku vedeném Krajským soudem v Ostravě, oddíl B, vložka 297 (takový dlužník dále též jen jako „Dlužník“) </w:t>
      </w:r>
    </w:p>
    <w:p w14:paraId="141EC195" w14:textId="77777777" w:rsidR="00104DA2" w:rsidRPr="00104DA2" w:rsidRDefault="00104DA2" w:rsidP="00104DA2">
      <w:pPr>
        <w:widowControl w:val="0"/>
        <w:tabs>
          <w:tab w:val="left" w:pos="709"/>
        </w:tabs>
        <w:ind w:left="1418"/>
        <w:jc w:val="both"/>
        <w:rPr>
          <w:szCs w:val="22"/>
        </w:rPr>
      </w:pPr>
      <w:r w:rsidRPr="00104DA2">
        <w:rPr>
          <w:szCs w:val="22"/>
        </w:rPr>
        <w:t xml:space="preserve">Dlužník je plátcem daně z přidané hodnoty (tato daň dále též jen jako „DPH“); </w:t>
      </w:r>
    </w:p>
    <w:p w14:paraId="7AF53802" w14:textId="77777777" w:rsidR="00104DA2" w:rsidRPr="00104DA2" w:rsidRDefault="00104DA2" w:rsidP="00104DA2">
      <w:pPr>
        <w:widowControl w:val="0"/>
        <w:tabs>
          <w:tab w:val="left" w:pos="1418"/>
        </w:tabs>
        <w:jc w:val="both"/>
        <w:rPr>
          <w:szCs w:val="22"/>
        </w:rPr>
      </w:pPr>
      <w:r w:rsidRPr="00104DA2">
        <w:rPr>
          <w:szCs w:val="22"/>
        </w:rPr>
        <w:tab/>
        <w:t>DIČ: CZ45193258</w:t>
      </w:r>
    </w:p>
    <w:p w14:paraId="2C729E7D" w14:textId="77777777" w:rsidR="00104DA2" w:rsidRPr="00104DA2" w:rsidRDefault="00104DA2" w:rsidP="00104DA2">
      <w:pPr>
        <w:widowControl w:val="0"/>
        <w:tabs>
          <w:tab w:val="left" w:pos="709"/>
        </w:tabs>
        <w:jc w:val="both"/>
        <w:rPr>
          <w:bCs/>
          <w:color w:val="FF0000"/>
          <w:szCs w:val="22"/>
        </w:rPr>
      </w:pPr>
      <w:r w:rsidRPr="00104DA2">
        <w:rPr>
          <w:szCs w:val="22"/>
        </w:rPr>
        <w:tab/>
      </w:r>
      <w:r w:rsidRPr="00104DA2">
        <w:rPr>
          <w:szCs w:val="22"/>
        </w:rPr>
        <w:tab/>
      </w:r>
      <w:r w:rsidRPr="00104DA2">
        <w:rPr>
          <w:rFonts w:eastAsia="Calibri"/>
          <w:bCs/>
          <w:szCs w:val="22"/>
          <w:lang w:eastAsia="en-US"/>
        </w:rPr>
        <w:t>(dále také jen „</w:t>
      </w:r>
      <w:r w:rsidRPr="00104DA2">
        <w:rPr>
          <w:rFonts w:eastAsia="Calibri"/>
          <w:b/>
          <w:szCs w:val="22"/>
          <w:lang w:eastAsia="en-US"/>
        </w:rPr>
        <w:t>Strana prodávající</w:t>
      </w:r>
      <w:r w:rsidRPr="00104DA2">
        <w:rPr>
          <w:rFonts w:eastAsia="Calibri"/>
          <w:bCs/>
          <w:szCs w:val="22"/>
          <w:lang w:eastAsia="en-US"/>
        </w:rPr>
        <w:t>“)</w:t>
      </w:r>
    </w:p>
    <w:p w14:paraId="4436DB54" w14:textId="77777777" w:rsidR="00104DA2" w:rsidRPr="00104DA2" w:rsidRDefault="00104DA2" w:rsidP="00104DA2">
      <w:pPr>
        <w:ind w:left="1410" w:hanging="1410"/>
        <w:jc w:val="both"/>
        <w:rPr>
          <w:szCs w:val="22"/>
        </w:rPr>
      </w:pPr>
      <w:r w:rsidRPr="00104DA2">
        <w:rPr>
          <w:szCs w:val="22"/>
        </w:rPr>
        <w:t>a</w:t>
      </w:r>
    </w:p>
    <w:p w14:paraId="07890F05" w14:textId="77777777" w:rsidR="00104DA2" w:rsidRPr="00104DA2" w:rsidRDefault="00104DA2" w:rsidP="00104DA2">
      <w:pPr>
        <w:rPr>
          <w:b/>
          <w:szCs w:val="22"/>
        </w:rPr>
      </w:pPr>
    </w:p>
    <w:p w14:paraId="3011DCB4" w14:textId="77777777" w:rsidR="00104DA2" w:rsidRPr="00104DA2" w:rsidRDefault="00104DA2" w:rsidP="00104DA2">
      <w:pPr>
        <w:tabs>
          <w:tab w:val="left" w:pos="708"/>
          <w:tab w:val="left" w:pos="1416"/>
          <w:tab w:val="left" w:pos="2124"/>
          <w:tab w:val="left" w:pos="2625"/>
        </w:tabs>
        <w:autoSpaceDE w:val="0"/>
        <w:autoSpaceDN w:val="0"/>
        <w:adjustRightInd w:val="0"/>
        <w:jc w:val="both"/>
        <w:rPr>
          <w:rFonts w:eastAsia="Calibri"/>
          <w:bCs/>
          <w:iCs/>
          <w:szCs w:val="22"/>
        </w:rPr>
      </w:pPr>
      <w:r w:rsidRPr="00104DA2">
        <w:rPr>
          <w:b/>
          <w:szCs w:val="22"/>
        </w:rPr>
        <w:t>Kupující:</w:t>
      </w:r>
      <w:r w:rsidRPr="00104DA2">
        <w:rPr>
          <w:b/>
          <w:szCs w:val="22"/>
        </w:rPr>
        <w:tab/>
      </w:r>
      <w:bookmarkStart w:id="6" w:name="_Hlk88736002"/>
      <w:r w:rsidRPr="00104DA2">
        <w:rPr>
          <w:b/>
          <w:szCs w:val="22"/>
          <w:highlight w:val="yellow"/>
        </w:rPr>
        <w:t>[BUDE DOPLNĚNO]</w:t>
      </w:r>
      <w:r w:rsidRPr="00104DA2">
        <w:rPr>
          <w:color w:val="333333"/>
          <w:szCs w:val="22"/>
          <w:shd w:val="clear" w:color="auto" w:fill="FFFFFF"/>
        </w:rPr>
        <w:t xml:space="preserve">, </w:t>
      </w:r>
      <w:proofErr w:type="spellStart"/>
      <w:r w:rsidRPr="00104DA2">
        <w:rPr>
          <w:color w:val="333333"/>
          <w:szCs w:val="22"/>
          <w:shd w:val="clear" w:color="auto" w:fill="FFFFFF"/>
        </w:rPr>
        <w:t>r.č</w:t>
      </w:r>
      <w:proofErr w:type="spellEnd"/>
      <w:r w:rsidRPr="00104DA2">
        <w:rPr>
          <w:color w:val="333333"/>
          <w:szCs w:val="22"/>
          <w:shd w:val="clear" w:color="auto" w:fill="FFFFFF"/>
        </w:rPr>
        <w:t xml:space="preserve">./IČ </w:t>
      </w:r>
      <w:r w:rsidRPr="00104DA2">
        <w:rPr>
          <w:bCs/>
          <w:szCs w:val="22"/>
          <w:highlight w:val="yellow"/>
        </w:rPr>
        <w:t>[BUDE DOPLNĚNO]</w:t>
      </w:r>
    </w:p>
    <w:p w14:paraId="384CAD79" w14:textId="77777777" w:rsidR="00104DA2" w:rsidRPr="00104DA2" w:rsidRDefault="00104DA2" w:rsidP="00104DA2">
      <w:pPr>
        <w:tabs>
          <w:tab w:val="left" w:pos="708"/>
          <w:tab w:val="left" w:pos="1416"/>
          <w:tab w:val="left" w:pos="2124"/>
          <w:tab w:val="left" w:pos="2625"/>
        </w:tabs>
        <w:autoSpaceDE w:val="0"/>
        <w:autoSpaceDN w:val="0"/>
        <w:adjustRightInd w:val="0"/>
        <w:jc w:val="both"/>
        <w:rPr>
          <w:iCs/>
          <w:color w:val="000000"/>
          <w:szCs w:val="22"/>
        </w:rPr>
      </w:pPr>
      <w:r w:rsidRPr="00104DA2">
        <w:rPr>
          <w:iCs/>
          <w:color w:val="000000"/>
          <w:szCs w:val="22"/>
        </w:rPr>
        <w:tab/>
      </w:r>
      <w:r w:rsidRPr="00104DA2">
        <w:rPr>
          <w:iCs/>
          <w:color w:val="000000"/>
          <w:szCs w:val="22"/>
        </w:rPr>
        <w:tab/>
        <w:t>se sídlem/bytem</w:t>
      </w:r>
      <w:r w:rsidRPr="00104DA2">
        <w:rPr>
          <w:bCs/>
          <w:iCs/>
          <w:color w:val="000000"/>
          <w:szCs w:val="22"/>
        </w:rPr>
        <w:t xml:space="preserve"> </w:t>
      </w:r>
      <w:r w:rsidRPr="00104DA2">
        <w:rPr>
          <w:bCs/>
          <w:szCs w:val="22"/>
          <w:highlight w:val="yellow"/>
        </w:rPr>
        <w:t>[BUDE DOPLNĚNO]</w:t>
      </w:r>
    </w:p>
    <w:p w14:paraId="70A7CAC1" w14:textId="77777777" w:rsidR="00104DA2" w:rsidRPr="00104DA2" w:rsidRDefault="00104DA2" w:rsidP="00104DA2">
      <w:pPr>
        <w:widowControl w:val="0"/>
        <w:tabs>
          <w:tab w:val="left" w:pos="709"/>
        </w:tabs>
        <w:ind w:left="1416"/>
        <w:jc w:val="both"/>
        <w:rPr>
          <w:iCs/>
          <w:szCs w:val="22"/>
        </w:rPr>
      </w:pPr>
      <w:r w:rsidRPr="00104DA2">
        <w:rPr>
          <w:iCs/>
          <w:szCs w:val="22"/>
        </w:rPr>
        <w:t xml:space="preserve">zapsána v obchodním rejstříku vedeném </w:t>
      </w:r>
      <w:r w:rsidRPr="00104DA2">
        <w:rPr>
          <w:bCs/>
          <w:szCs w:val="22"/>
          <w:highlight w:val="yellow"/>
        </w:rPr>
        <w:t>[BUDE DOPLNĚNO]</w:t>
      </w:r>
      <w:r w:rsidRPr="00104DA2">
        <w:rPr>
          <w:iCs/>
          <w:szCs w:val="22"/>
        </w:rPr>
        <w:t xml:space="preserve">, oddíl </w:t>
      </w:r>
      <w:r w:rsidRPr="00104DA2">
        <w:rPr>
          <w:bCs/>
          <w:szCs w:val="22"/>
          <w:highlight w:val="yellow"/>
        </w:rPr>
        <w:t>[BUDE DOPLNĚNO]</w:t>
      </w:r>
      <w:r w:rsidRPr="00104DA2">
        <w:rPr>
          <w:iCs/>
          <w:szCs w:val="22"/>
        </w:rPr>
        <w:t xml:space="preserve">, vložka </w:t>
      </w:r>
      <w:r w:rsidRPr="00104DA2">
        <w:rPr>
          <w:bCs/>
          <w:szCs w:val="22"/>
          <w:highlight w:val="yellow"/>
        </w:rPr>
        <w:t>[BUDE DOPLNĚNO]</w:t>
      </w:r>
    </w:p>
    <w:p w14:paraId="701A391C" w14:textId="77777777" w:rsidR="00104DA2" w:rsidRPr="00104DA2" w:rsidRDefault="00104DA2" w:rsidP="00104DA2">
      <w:pPr>
        <w:tabs>
          <w:tab w:val="left" w:pos="708"/>
          <w:tab w:val="left" w:pos="1416"/>
          <w:tab w:val="left" w:pos="2124"/>
          <w:tab w:val="left" w:pos="2625"/>
        </w:tabs>
        <w:autoSpaceDE w:val="0"/>
        <w:autoSpaceDN w:val="0"/>
        <w:adjustRightInd w:val="0"/>
        <w:jc w:val="both"/>
        <w:rPr>
          <w:i/>
          <w:iCs/>
          <w:color w:val="000000"/>
          <w:szCs w:val="22"/>
        </w:rPr>
      </w:pPr>
      <w:r w:rsidRPr="00104DA2">
        <w:rPr>
          <w:iCs/>
          <w:szCs w:val="22"/>
        </w:rPr>
        <w:tab/>
      </w:r>
      <w:r w:rsidRPr="00104DA2">
        <w:rPr>
          <w:iCs/>
          <w:szCs w:val="22"/>
        </w:rPr>
        <w:tab/>
        <w:t xml:space="preserve">zastoupena </w:t>
      </w:r>
      <w:r w:rsidRPr="00104DA2">
        <w:rPr>
          <w:bCs/>
          <w:szCs w:val="22"/>
          <w:highlight w:val="yellow"/>
        </w:rPr>
        <w:t>[BUDE DOPLNĚNO]</w:t>
      </w:r>
    </w:p>
    <w:bookmarkEnd w:id="6"/>
    <w:p w14:paraId="390DCFB3" w14:textId="77777777" w:rsidR="00104DA2" w:rsidRPr="00104DA2" w:rsidRDefault="00104DA2" w:rsidP="00104DA2">
      <w:pPr>
        <w:tabs>
          <w:tab w:val="left" w:pos="708"/>
          <w:tab w:val="left" w:pos="1416"/>
          <w:tab w:val="left" w:pos="2124"/>
          <w:tab w:val="left" w:pos="2625"/>
        </w:tabs>
        <w:autoSpaceDE w:val="0"/>
        <w:autoSpaceDN w:val="0"/>
        <w:adjustRightInd w:val="0"/>
        <w:jc w:val="both"/>
        <w:rPr>
          <w:color w:val="000000"/>
          <w:szCs w:val="22"/>
        </w:rPr>
      </w:pPr>
      <w:r w:rsidRPr="00104DA2">
        <w:rPr>
          <w:rFonts w:eastAsia="Calibri"/>
          <w:bCs/>
          <w:szCs w:val="22"/>
          <w:lang w:eastAsia="en-US"/>
        </w:rPr>
        <w:tab/>
      </w:r>
      <w:r w:rsidRPr="00104DA2">
        <w:rPr>
          <w:rFonts w:eastAsia="Calibri"/>
          <w:bCs/>
          <w:szCs w:val="22"/>
          <w:lang w:eastAsia="en-US"/>
        </w:rPr>
        <w:tab/>
        <w:t>(dále také jen „</w:t>
      </w:r>
      <w:r w:rsidRPr="00104DA2">
        <w:rPr>
          <w:rFonts w:eastAsia="Calibri"/>
          <w:b/>
          <w:szCs w:val="22"/>
          <w:lang w:eastAsia="en-US"/>
        </w:rPr>
        <w:t>Strana kupující</w:t>
      </w:r>
      <w:r w:rsidRPr="00104DA2">
        <w:rPr>
          <w:rFonts w:eastAsia="Calibri"/>
          <w:bCs/>
          <w:szCs w:val="22"/>
          <w:lang w:eastAsia="en-US"/>
        </w:rPr>
        <w:t>“)</w:t>
      </w:r>
    </w:p>
    <w:bookmarkEnd w:id="5"/>
    <w:p w14:paraId="61E5C87D" w14:textId="77777777" w:rsidR="00104DA2" w:rsidRPr="00104DA2" w:rsidRDefault="00104DA2" w:rsidP="00104DA2">
      <w:pPr>
        <w:widowControl w:val="0"/>
        <w:rPr>
          <w:szCs w:val="22"/>
        </w:rPr>
      </w:pPr>
      <w:r w:rsidRPr="00104DA2">
        <w:rPr>
          <w:szCs w:val="22"/>
        </w:rPr>
        <w:t>a</w:t>
      </w:r>
    </w:p>
    <w:p w14:paraId="474941AB" w14:textId="77777777" w:rsidR="00104DA2" w:rsidRPr="00104DA2" w:rsidRDefault="00104DA2" w:rsidP="00104DA2">
      <w:pPr>
        <w:widowControl w:val="0"/>
        <w:rPr>
          <w:b/>
          <w:szCs w:val="22"/>
        </w:rPr>
      </w:pPr>
    </w:p>
    <w:p w14:paraId="60692A4A" w14:textId="77777777" w:rsidR="00104DA2" w:rsidRPr="00104DA2" w:rsidRDefault="00104DA2" w:rsidP="00104DA2">
      <w:pPr>
        <w:widowControl w:val="0"/>
        <w:rPr>
          <w:szCs w:val="22"/>
        </w:rPr>
      </w:pPr>
      <w:r w:rsidRPr="00104DA2">
        <w:rPr>
          <w:b/>
          <w:szCs w:val="22"/>
        </w:rPr>
        <w:t>Zúčastněný subjekt:</w:t>
      </w:r>
      <w:r w:rsidRPr="00104DA2">
        <w:rPr>
          <w:b/>
          <w:szCs w:val="22"/>
        </w:rPr>
        <w:tab/>
        <w:t>GAUTE, a.s.</w:t>
      </w:r>
      <w:r w:rsidRPr="00104DA2">
        <w:rPr>
          <w:szCs w:val="22"/>
        </w:rPr>
        <w:t>, IČO: 25543709</w:t>
      </w:r>
    </w:p>
    <w:p w14:paraId="3D884BAC" w14:textId="77777777" w:rsidR="00104DA2" w:rsidRPr="00104DA2" w:rsidRDefault="00104DA2" w:rsidP="00104DA2">
      <w:pPr>
        <w:widowControl w:val="0"/>
        <w:ind w:left="1415" w:firstLine="708"/>
        <w:rPr>
          <w:szCs w:val="22"/>
        </w:rPr>
      </w:pPr>
      <w:r w:rsidRPr="00104DA2">
        <w:rPr>
          <w:szCs w:val="22"/>
        </w:rPr>
        <w:t xml:space="preserve">se sídlem Lidická 2006/26, Černá Pole, 602 00 Brno, </w:t>
      </w:r>
    </w:p>
    <w:p w14:paraId="30CBE9D1" w14:textId="77777777" w:rsidR="00104DA2" w:rsidRPr="00104DA2" w:rsidRDefault="00104DA2" w:rsidP="00104DA2">
      <w:pPr>
        <w:widowControl w:val="0"/>
        <w:ind w:left="2123" w:firstLine="1"/>
        <w:jc w:val="both"/>
        <w:rPr>
          <w:szCs w:val="22"/>
        </w:rPr>
      </w:pPr>
      <w:r w:rsidRPr="00104DA2">
        <w:rPr>
          <w:szCs w:val="22"/>
        </w:rPr>
        <w:t>zapsána v obchodním rejstříku vedeném Krajským soudem v Brně, oddíl B, vložka 2794</w:t>
      </w:r>
    </w:p>
    <w:p w14:paraId="19D5B2B9" w14:textId="77777777" w:rsidR="00104DA2" w:rsidRPr="00104DA2" w:rsidRDefault="00104DA2" w:rsidP="00104DA2">
      <w:pPr>
        <w:widowControl w:val="0"/>
        <w:ind w:left="2123" w:firstLine="1"/>
        <w:jc w:val="both"/>
        <w:rPr>
          <w:szCs w:val="22"/>
        </w:rPr>
      </w:pPr>
      <w:r w:rsidRPr="00104DA2">
        <w:rPr>
          <w:szCs w:val="22"/>
        </w:rPr>
        <w:t>zastoupena Ing. Lenkou Kunstovou na základě plné moci</w:t>
      </w:r>
    </w:p>
    <w:p w14:paraId="363614BC" w14:textId="77777777" w:rsidR="00104DA2" w:rsidRPr="00104DA2" w:rsidRDefault="00104DA2" w:rsidP="00104DA2">
      <w:pPr>
        <w:tabs>
          <w:tab w:val="left" w:pos="708"/>
          <w:tab w:val="left" w:pos="1416"/>
          <w:tab w:val="left" w:pos="2124"/>
          <w:tab w:val="left" w:pos="2625"/>
        </w:tabs>
        <w:autoSpaceDE w:val="0"/>
        <w:autoSpaceDN w:val="0"/>
        <w:adjustRightInd w:val="0"/>
        <w:jc w:val="both"/>
        <w:rPr>
          <w:color w:val="000000"/>
          <w:szCs w:val="22"/>
        </w:rPr>
      </w:pPr>
      <w:r w:rsidRPr="00104DA2">
        <w:rPr>
          <w:rFonts w:eastAsia="Calibri"/>
          <w:bCs/>
          <w:szCs w:val="22"/>
          <w:lang w:eastAsia="en-US"/>
        </w:rPr>
        <w:tab/>
      </w:r>
      <w:r w:rsidRPr="00104DA2">
        <w:rPr>
          <w:rFonts w:eastAsia="Calibri"/>
          <w:bCs/>
          <w:szCs w:val="22"/>
          <w:lang w:eastAsia="en-US"/>
        </w:rPr>
        <w:tab/>
      </w:r>
      <w:r w:rsidRPr="00104DA2">
        <w:rPr>
          <w:rFonts w:eastAsia="Calibri"/>
          <w:bCs/>
          <w:szCs w:val="22"/>
          <w:lang w:eastAsia="en-US"/>
        </w:rPr>
        <w:tab/>
        <w:t>(dále také jen „</w:t>
      </w:r>
      <w:r w:rsidRPr="00104DA2">
        <w:rPr>
          <w:rFonts w:eastAsia="Calibri"/>
          <w:b/>
          <w:szCs w:val="22"/>
          <w:lang w:eastAsia="en-US"/>
        </w:rPr>
        <w:t>Zúčastněný subjekt</w:t>
      </w:r>
      <w:r w:rsidRPr="00104DA2">
        <w:rPr>
          <w:rFonts w:eastAsia="Calibri"/>
          <w:bCs/>
          <w:szCs w:val="22"/>
          <w:lang w:eastAsia="en-US"/>
        </w:rPr>
        <w:t>“)</w:t>
      </w:r>
    </w:p>
    <w:p w14:paraId="53C64C9C" w14:textId="77777777" w:rsidR="00104DA2" w:rsidRPr="00104DA2" w:rsidRDefault="00104DA2" w:rsidP="00104DA2">
      <w:pPr>
        <w:widowControl w:val="0"/>
        <w:ind w:left="2123" w:firstLine="1"/>
        <w:jc w:val="both"/>
        <w:rPr>
          <w:szCs w:val="22"/>
        </w:rPr>
      </w:pPr>
    </w:p>
    <w:p w14:paraId="7975CE1E" w14:textId="77777777" w:rsidR="00104DA2" w:rsidRPr="00104DA2" w:rsidRDefault="00104DA2" w:rsidP="00104DA2">
      <w:pPr>
        <w:widowControl w:val="0"/>
        <w:tabs>
          <w:tab w:val="left" w:pos="1418"/>
        </w:tabs>
        <w:jc w:val="both"/>
        <w:rPr>
          <w:szCs w:val="22"/>
        </w:rPr>
      </w:pPr>
      <w:r w:rsidRPr="00104DA2">
        <w:rPr>
          <w:szCs w:val="22"/>
        </w:rPr>
        <w:t>(Strana prodávající, Strana kupující a Zúčastněný subjekt dále také jen jako „</w:t>
      </w:r>
      <w:r w:rsidRPr="00104DA2">
        <w:rPr>
          <w:b/>
          <w:bCs/>
          <w:szCs w:val="22"/>
        </w:rPr>
        <w:t>Strany</w:t>
      </w:r>
      <w:r w:rsidRPr="00104DA2">
        <w:rPr>
          <w:szCs w:val="22"/>
        </w:rPr>
        <w:t>“ nebo „</w:t>
      </w:r>
      <w:r w:rsidRPr="00104DA2">
        <w:rPr>
          <w:b/>
          <w:bCs/>
          <w:szCs w:val="22"/>
        </w:rPr>
        <w:t>Účastníci</w:t>
      </w:r>
      <w:r w:rsidRPr="00104DA2">
        <w:rPr>
          <w:szCs w:val="22"/>
        </w:rPr>
        <w:t>“ a každý z nich jako „</w:t>
      </w:r>
      <w:r w:rsidRPr="00104DA2">
        <w:rPr>
          <w:b/>
          <w:bCs/>
          <w:szCs w:val="22"/>
        </w:rPr>
        <w:t>Strana</w:t>
      </w:r>
      <w:r w:rsidRPr="00104DA2">
        <w:rPr>
          <w:szCs w:val="22"/>
        </w:rPr>
        <w:t>“ nebo jako „</w:t>
      </w:r>
      <w:r w:rsidRPr="00104DA2">
        <w:rPr>
          <w:b/>
          <w:bCs/>
          <w:szCs w:val="22"/>
        </w:rPr>
        <w:t>Účastník</w:t>
      </w:r>
      <w:r w:rsidRPr="00104DA2">
        <w:rPr>
          <w:szCs w:val="22"/>
        </w:rPr>
        <w:t>“)</w:t>
      </w:r>
    </w:p>
    <w:p w14:paraId="37713FBF" w14:textId="77777777" w:rsidR="00104DA2" w:rsidRPr="00F2162C" w:rsidRDefault="00104DA2" w:rsidP="00104DA2">
      <w:pPr>
        <w:rPr>
          <w:b/>
          <w:sz w:val="22"/>
          <w:szCs w:val="22"/>
        </w:rPr>
      </w:pPr>
    </w:p>
    <w:p w14:paraId="0EA75D21" w14:textId="77777777" w:rsidR="00104DA2" w:rsidRPr="00F2162C" w:rsidRDefault="00104DA2" w:rsidP="00104DA2">
      <w:pPr>
        <w:rPr>
          <w:b/>
          <w:sz w:val="22"/>
          <w:szCs w:val="22"/>
        </w:rPr>
      </w:pPr>
    </w:p>
    <w:p w14:paraId="45AC6D31" w14:textId="77777777" w:rsidR="00104DA2" w:rsidRPr="00F2162C" w:rsidRDefault="00104DA2" w:rsidP="00104DA2">
      <w:pPr>
        <w:rPr>
          <w:b/>
          <w:smallCaps/>
          <w:sz w:val="22"/>
          <w:szCs w:val="22"/>
        </w:rPr>
      </w:pPr>
      <w:r w:rsidRPr="00F2162C">
        <w:rPr>
          <w:b/>
          <w:smallCaps/>
          <w:sz w:val="22"/>
          <w:szCs w:val="22"/>
        </w:rPr>
        <w:t>VZHLEDEM K TOMU, ŽE:</w:t>
      </w:r>
    </w:p>
    <w:p w14:paraId="02E5BF1B" w14:textId="77777777" w:rsidR="00104DA2" w:rsidRPr="00F2162C" w:rsidRDefault="00104DA2" w:rsidP="00104DA2">
      <w:pPr>
        <w:rPr>
          <w:b/>
          <w:smallCaps/>
          <w:sz w:val="22"/>
          <w:szCs w:val="22"/>
        </w:rPr>
      </w:pPr>
    </w:p>
    <w:p w14:paraId="42E11B2B" w14:textId="77777777" w:rsidR="00104DA2" w:rsidRPr="00104DA2" w:rsidRDefault="00104DA2" w:rsidP="00104DA2">
      <w:pPr>
        <w:pStyle w:val="Odstavecseseznamem"/>
        <w:numPr>
          <w:ilvl w:val="0"/>
          <w:numId w:val="38"/>
        </w:numPr>
        <w:ind w:hanging="720"/>
        <w:jc w:val="both"/>
        <w:rPr>
          <w:szCs w:val="22"/>
        </w:rPr>
      </w:pPr>
      <w:r w:rsidRPr="00104DA2">
        <w:rPr>
          <w:szCs w:val="22"/>
        </w:rPr>
        <w:t xml:space="preserve">Strana prodávající je insolvenčním správcem a osobou s dispozičním oprávněním ve vztahu k majetkové podstatě Dlužníka, neboť s Dlužníkem </w:t>
      </w:r>
      <w:bookmarkStart w:id="7" w:name="_Hlk490225691"/>
      <w:bookmarkStart w:id="8" w:name="_Hlk491943996"/>
      <w:bookmarkStart w:id="9" w:name="_Hlk487719756"/>
      <w:r w:rsidRPr="00104DA2">
        <w:rPr>
          <w:szCs w:val="22"/>
        </w:rPr>
        <w:t xml:space="preserve">bylo zahájeno insolvenční řízení a dne </w:t>
      </w:r>
      <w:bookmarkStart w:id="10" w:name="_Hlk190873625"/>
      <w:r w:rsidRPr="00104DA2">
        <w:rPr>
          <w:szCs w:val="22"/>
        </w:rPr>
        <w:t xml:space="preserve">21.6.2024 </w:t>
      </w:r>
      <w:bookmarkEnd w:id="10"/>
      <w:r w:rsidRPr="00104DA2">
        <w:rPr>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50DC087B" w14:textId="77777777" w:rsidR="00104DA2" w:rsidRPr="00104DA2" w:rsidRDefault="00104DA2" w:rsidP="00104DA2">
      <w:pPr>
        <w:pStyle w:val="Odstavecseseznamem"/>
        <w:jc w:val="both"/>
        <w:rPr>
          <w:szCs w:val="22"/>
        </w:rPr>
      </w:pPr>
    </w:p>
    <w:p w14:paraId="243E2895" w14:textId="77777777" w:rsidR="00104DA2" w:rsidRPr="00104DA2" w:rsidRDefault="00104DA2" w:rsidP="00104DA2">
      <w:pPr>
        <w:pStyle w:val="Odstavecseseznamem"/>
        <w:numPr>
          <w:ilvl w:val="0"/>
          <w:numId w:val="38"/>
        </w:numPr>
        <w:ind w:hanging="720"/>
        <w:jc w:val="both"/>
        <w:rPr>
          <w:szCs w:val="22"/>
        </w:rPr>
      </w:pPr>
      <w:r w:rsidRPr="00104DA2">
        <w:rPr>
          <w:szCs w:val="22"/>
        </w:rPr>
        <w:t>Dlužník</w:t>
      </w:r>
      <w:r w:rsidRPr="00104DA2">
        <w:rPr>
          <w:bCs/>
          <w:szCs w:val="22"/>
        </w:rPr>
        <w:t xml:space="preserve"> </w:t>
      </w:r>
      <w:r w:rsidRPr="00104DA2">
        <w:rPr>
          <w:szCs w:val="22"/>
        </w:rPr>
        <w:t>je výlučným vlastníkem následujících nemovitých věcí</w:t>
      </w:r>
      <w:bookmarkStart w:id="11" w:name="_Hlk88737127"/>
      <w:bookmarkEnd w:id="7"/>
      <w:bookmarkEnd w:id="8"/>
      <w:r w:rsidRPr="00104DA2">
        <w:rPr>
          <w:bCs/>
          <w:szCs w:val="22"/>
        </w:rPr>
        <w:t>:</w:t>
      </w:r>
    </w:p>
    <w:p w14:paraId="7FA7A40E" w14:textId="77777777" w:rsidR="00104DA2" w:rsidRPr="00104DA2" w:rsidRDefault="00104DA2" w:rsidP="00104DA2">
      <w:pPr>
        <w:pStyle w:val="Odstavecseseznamem"/>
        <w:numPr>
          <w:ilvl w:val="0"/>
          <w:numId w:val="39"/>
        </w:numPr>
        <w:tabs>
          <w:tab w:val="left" w:pos="708"/>
          <w:tab w:val="left" w:pos="1416"/>
          <w:tab w:val="left" w:pos="2124"/>
          <w:tab w:val="left" w:pos="2625"/>
        </w:tabs>
        <w:autoSpaceDE w:val="0"/>
        <w:autoSpaceDN w:val="0"/>
        <w:adjustRightInd w:val="0"/>
        <w:contextualSpacing/>
        <w:jc w:val="both"/>
        <w:rPr>
          <w:rFonts w:eastAsia="Calibri"/>
          <w:bCs/>
          <w:iCs/>
          <w:szCs w:val="22"/>
        </w:rPr>
      </w:pPr>
      <w:r w:rsidRPr="00104DA2">
        <w:rPr>
          <w:bCs/>
          <w:szCs w:val="22"/>
        </w:rPr>
        <w:t xml:space="preserve">pozemek </w:t>
      </w:r>
      <w:proofErr w:type="spellStart"/>
      <w:r w:rsidRPr="00104DA2">
        <w:rPr>
          <w:bCs/>
          <w:szCs w:val="22"/>
        </w:rPr>
        <w:t>parc</w:t>
      </w:r>
      <w:proofErr w:type="spellEnd"/>
      <w:r w:rsidRPr="00104DA2">
        <w:rPr>
          <w:bCs/>
          <w:szCs w:val="22"/>
        </w:rPr>
        <w:t xml:space="preserve">. č. 1399/4, zastavěná plocha a nádvoří, jehož součástí je stavba, Kunčice č.p. 744, </w:t>
      </w:r>
      <w:proofErr w:type="spellStart"/>
      <w:r w:rsidRPr="00104DA2">
        <w:rPr>
          <w:bCs/>
          <w:szCs w:val="22"/>
        </w:rPr>
        <w:t>obč.vyb</w:t>
      </w:r>
      <w:proofErr w:type="spellEnd"/>
      <w:r w:rsidRPr="00104DA2">
        <w:rPr>
          <w:bCs/>
          <w:szCs w:val="22"/>
        </w:rPr>
        <w:t xml:space="preserve">., stavba stojí na pozemku </w:t>
      </w:r>
      <w:proofErr w:type="spellStart"/>
      <w:r w:rsidRPr="00104DA2">
        <w:rPr>
          <w:bCs/>
          <w:szCs w:val="22"/>
        </w:rPr>
        <w:t>parc</w:t>
      </w:r>
      <w:proofErr w:type="spellEnd"/>
      <w:r w:rsidRPr="00104DA2">
        <w:rPr>
          <w:bCs/>
          <w:szCs w:val="22"/>
        </w:rPr>
        <w:t>. č. 1399/4</w:t>
      </w:r>
    </w:p>
    <w:p w14:paraId="5D4DBBAC" w14:textId="77777777" w:rsidR="00104DA2" w:rsidRPr="00104DA2" w:rsidRDefault="00104DA2" w:rsidP="00104DA2">
      <w:pPr>
        <w:widowControl w:val="0"/>
        <w:tabs>
          <w:tab w:val="left" w:pos="709"/>
        </w:tabs>
        <w:ind w:left="708"/>
        <w:jc w:val="both"/>
        <w:rPr>
          <w:szCs w:val="22"/>
        </w:rPr>
      </w:pPr>
      <w:r w:rsidRPr="00104DA2">
        <w:rPr>
          <w:szCs w:val="22"/>
        </w:rPr>
        <w:t xml:space="preserve">vše zapsáno na listu vlastnictví č. </w:t>
      </w:r>
      <w:r w:rsidRPr="00104DA2">
        <w:rPr>
          <w:bCs/>
          <w:szCs w:val="22"/>
        </w:rPr>
        <w:t>6</w:t>
      </w:r>
      <w:r w:rsidRPr="00104DA2">
        <w:rPr>
          <w:szCs w:val="22"/>
        </w:rPr>
        <w:t xml:space="preserve"> </w:t>
      </w:r>
      <w:r w:rsidRPr="00104DA2">
        <w:rPr>
          <w:bCs/>
          <w:szCs w:val="22"/>
        </w:rPr>
        <w:t xml:space="preserve">pro katastrální území Kunčice nad Ostravicí, obec Ostrava, u </w:t>
      </w:r>
      <w:r w:rsidRPr="00104DA2">
        <w:rPr>
          <w:szCs w:val="22"/>
        </w:rPr>
        <w:t>Katastrálního úřadu pro Moravskoslezský kraj, Katastrální pracoviště Ostrava (všechny tyto výše uvedené nemovité věci se všemi součástmi a příslušenstvím dále také jen jako „</w:t>
      </w:r>
      <w:r w:rsidRPr="00104DA2">
        <w:rPr>
          <w:b/>
          <w:bCs/>
          <w:szCs w:val="22"/>
        </w:rPr>
        <w:t>Předmět prodeje</w:t>
      </w:r>
      <w:r w:rsidRPr="00104DA2">
        <w:rPr>
          <w:szCs w:val="22"/>
        </w:rPr>
        <w:t>“),</w:t>
      </w:r>
    </w:p>
    <w:p w14:paraId="0A25A8CD" w14:textId="77777777" w:rsidR="00104DA2" w:rsidRPr="00F2162C" w:rsidRDefault="00104DA2" w:rsidP="00104DA2">
      <w:pPr>
        <w:widowControl w:val="0"/>
        <w:suppressAutoHyphens/>
        <w:ind w:left="357"/>
        <w:jc w:val="both"/>
        <w:rPr>
          <w:sz w:val="22"/>
          <w:szCs w:val="22"/>
        </w:rPr>
      </w:pPr>
    </w:p>
    <w:p w14:paraId="61C988DA" w14:textId="635D211B" w:rsidR="00104DA2" w:rsidRDefault="00104DA2" w:rsidP="00104DA2">
      <w:pPr>
        <w:pStyle w:val="Odstavecseseznamem"/>
        <w:numPr>
          <w:ilvl w:val="0"/>
          <w:numId w:val="38"/>
        </w:numPr>
        <w:ind w:hanging="720"/>
        <w:jc w:val="both"/>
        <w:rPr>
          <w:szCs w:val="22"/>
        </w:rPr>
      </w:pPr>
      <w:r w:rsidRPr="00104DA2">
        <w:rPr>
          <w:szCs w:val="22"/>
        </w:rPr>
        <w:t xml:space="preserve">Strana prodávající prohlašuje, že jako insolvenční správce Dlužníka zapsala Předmět prodeje do majetkové podstaty Dlužníka a je tedy oprávněna navrhnout zpeněžení majetkové podstaty Dlužníka včetně Předmětu prodeje, a to prodejem mimo dražbu. Pokyn zajištěného věřitele </w:t>
      </w:r>
      <w:r w:rsidRPr="00104DA2">
        <w:rPr>
          <w:bCs/>
          <w:szCs w:val="22"/>
        </w:rPr>
        <w:t xml:space="preserve">SPV JAT, s. r. o., IČO: 052 68 575 </w:t>
      </w:r>
      <w:r w:rsidRPr="00104DA2">
        <w:rPr>
          <w:szCs w:val="22"/>
        </w:rPr>
        <w:t xml:space="preserve">ke zpeněžení Předmětu prodeje, který je předmětem zajištění, byl vydán dne </w:t>
      </w:r>
      <w:r w:rsidRPr="00104DA2">
        <w:rPr>
          <w:bCs/>
          <w:szCs w:val="22"/>
        </w:rPr>
        <w:t>5. 2. 2025</w:t>
      </w:r>
      <w:r w:rsidRPr="00104DA2">
        <w:rPr>
          <w:szCs w:val="22"/>
        </w:rPr>
        <w:t>. Tato Smlouva je uzavřena v souladu s uvedeným pokynem zajištěného věřitele;</w:t>
      </w:r>
    </w:p>
    <w:p w14:paraId="06B831DA" w14:textId="4B6CA3D2" w:rsidR="00104DA2" w:rsidRPr="00104DA2" w:rsidRDefault="00104DA2" w:rsidP="00104DA2">
      <w:pPr>
        <w:rPr>
          <w:szCs w:val="22"/>
        </w:rPr>
      </w:pPr>
      <w:r>
        <w:rPr>
          <w:szCs w:val="22"/>
        </w:rPr>
        <w:br w:type="page"/>
      </w:r>
    </w:p>
    <w:p w14:paraId="0B93FEDF" w14:textId="77777777" w:rsidR="00104DA2" w:rsidRPr="00104DA2" w:rsidRDefault="00104DA2" w:rsidP="00104DA2">
      <w:pPr>
        <w:pStyle w:val="Odstavecseseznamem"/>
        <w:jc w:val="both"/>
        <w:rPr>
          <w:szCs w:val="22"/>
        </w:rPr>
      </w:pPr>
    </w:p>
    <w:p w14:paraId="47A56529" w14:textId="77777777" w:rsidR="00104DA2" w:rsidRPr="00104DA2" w:rsidRDefault="00104DA2" w:rsidP="00104DA2">
      <w:pPr>
        <w:pStyle w:val="Odstavecseseznamem"/>
        <w:numPr>
          <w:ilvl w:val="0"/>
          <w:numId w:val="38"/>
        </w:numPr>
        <w:ind w:hanging="720"/>
        <w:jc w:val="both"/>
        <w:rPr>
          <w:szCs w:val="22"/>
        </w:rPr>
      </w:pPr>
      <w:r w:rsidRPr="00104DA2">
        <w:rPr>
          <w:szCs w:val="22"/>
        </w:rPr>
        <w:t xml:space="preserve">Strana prodávající prostřednictvím Zúčastněného subjektu nabídla Předmět prodeje ke koupi ve Vyhledávacím řízení v aplikaci </w:t>
      </w:r>
      <w:r w:rsidRPr="00104DA2">
        <w:rPr>
          <w:bCs/>
          <w:szCs w:val="22"/>
        </w:rPr>
        <w:t xml:space="preserve">(zprostředkovatelské platformě) </w:t>
      </w:r>
      <w:r w:rsidRPr="00104DA2">
        <w:rPr>
          <w:szCs w:val="22"/>
        </w:rPr>
        <w:t xml:space="preserve">v rámci tzv. Zprostředkovatelského elektronického </w:t>
      </w:r>
      <w:proofErr w:type="spellStart"/>
      <w:r w:rsidRPr="00104DA2">
        <w:rPr>
          <w:szCs w:val="22"/>
        </w:rPr>
        <w:t>Gaute</w:t>
      </w:r>
      <w:proofErr w:type="spellEnd"/>
      <w:r w:rsidRPr="00104DA2">
        <w:rPr>
          <w:szCs w:val="22"/>
        </w:rPr>
        <w:t xml:space="preserve"> systému (ZEGS), které proběhlo na webové adrese </w:t>
      </w:r>
      <w:hyperlink r:id="rId22" w:history="1">
        <w:r w:rsidRPr="00104DA2">
          <w:rPr>
            <w:rStyle w:val="Hypertextovodkaz"/>
            <w:szCs w:val="22"/>
          </w:rPr>
          <w:t>www.verejnedrazby.cz</w:t>
        </w:r>
      </w:hyperlink>
      <w:r w:rsidRPr="00104DA2">
        <w:rPr>
          <w:szCs w:val="22"/>
        </w:rPr>
        <w:t xml:space="preserve"> a bylo organizováno Zúčastněným subjektem, a to pod evidenčním číslem </w:t>
      </w:r>
      <w:r w:rsidRPr="00104DA2">
        <w:rPr>
          <w:bCs/>
          <w:szCs w:val="22"/>
        </w:rPr>
        <w:t xml:space="preserve">A7597 </w:t>
      </w:r>
      <w:r w:rsidRPr="00104DA2">
        <w:rPr>
          <w:szCs w:val="22"/>
        </w:rPr>
        <w:t xml:space="preserve"> (dále také jen „</w:t>
      </w:r>
      <w:r w:rsidRPr="00104DA2">
        <w:rPr>
          <w:b/>
          <w:bCs/>
          <w:szCs w:val="22"/>
        </w:rPr>
        <w:t>Vyhledávací řízení</w:t>
      </w:r>
      <w:r w:rsidRPr="00104DA2">
        <w:rPr>
          <w:szCs w:val="22"/>
        </w:rPr>
        <w:t xml:space="preserve">“); které skončilo dne </w:t>
      </w:r>
      <w:r w:rsidRPr="00104DA2">
        <w:rPr>
          <w:bCs/>
          <w:szCs w:val="22"/>
          <w:highlight w:val="yellow"/>
        </w:rPr>
        <w:t>[BUDE DOPLNĚNO]</w:t>
      </w:r>
      <w:r w:rsidRPr="00104DA2">
        <w:rPr>
          <w:bCs/>
          <w:szCs w:val="22"/>
        </w:rPr>
        <w:t xml:space="preserve"> </w:t>
      </w:r>
      <w:r w:rsidRPr="00104DA2">
        <w:rPr>
          <w:szCs w:val="22"/>
        </w:rPr>
        <w:t xml:space="preserve">a </w:t>
      </w:r>
      <w:r w:rsidRPr="00104DA2">
        <w:rPr>
          <w:szCs w:val="22"/>
          <w:lang w:eastAsia="en-US"/>
        </w:rPr>
        <w:t>jehož se Strana kupující stala vítězem, neboť nabídla nejvyšší kupní cenu.</w:t>
      </w:r>
    </w:p>
    <w:p w14:paraId="2F26BFEB" w14:textId="77777777" w:rsidR="00104DA2" w:rsidRPr="00F2162C" w:rsidRDefault="00104DA2" w:rsidP="00104DA2">
      <w:pPr>
        <w:widowControl w:val="0"/>
        <w:suppressAutoHyphens/>
        <w:ind w:left="357"/>
        <w:jc w:val="both"/>
        <w:rPr>
          <w:sz w:val="22"/>
          <w:szCs w:val="22"/>
        </w:rPr>
      </w:pPr>
    </w:p>
    <w:p w14:paraId="7C9D7508" w14:textId="77777777" w:rsidR="00104DA2" w:rsidRPr="00F2162C" w:rsidRDefault="00104DA2" w:rsidP="00104DA2">
      <w:pPr>
        <w:widowControl w:val="0"/>
        <w:suppressAutoHyphens/>
        <w:ind w:left="357"/>
        <w:jc w:val="both"/>
        <w:rPr>
          <w:sz w:val="22"/>
          <w:szCs w:val="22"/>
        </w:rPr>
      </w:pPr>
    </w:p>
    <w:p w14:paraId="3F9FABDE" w14:textId="77777777" w:rsidR="00104DA2" w:rsidRPr="00F2162C" w:rsidRDefault="00104DA2" w:rsidP="00104DA2">
      <w:pPr>
        <w:rPr>
          <w:b/>
          <w:smallCaps/>
          <w:sz w:val="22"/>
          <w:szCs w:val="22"/>
        </w:rPr>
      </w:pPr>
      <w:r w:rsidRPr="00F2162C">
        <w:rPr>
          <w:b/>
          <w:smallCaps/>
          <w:sz w:val="22"/>
          <w:szCs w:val="22"/>
        </w:rPr>
        <w:t>Dohodly se Strany na následujícím:</w:t>
      </w:r>
    </w:p>
    <w:p w14:paraId="6B913624" w14:textId="77777777" w:rsidR="00104DA2" w:rsidRPr="00F2162C" w:rsidRDefault="00104DA2" w:rsidP="00104DA2">
      <w:pPr>
        <w:widowControl w:val="0"/>
        <w:suppressAutoHyphens/>
        <w:ind w:left="357"/>
        <w:jc w:val="both"/>
        <w:rPr>
          <w:sz w:val="22"/>
          <w:szCs w:val="22"/>
        </w:rPr>
      </w:pPr>
    </w:p>
    <w:p w14:paraId="3CD702C2" w14:textId="77777777" w:rsidR="00104DA2" w:rsidRPr="00F2162C" w:rsidRDefault="00104DA2" w:rsidP="00104DA2">
      <w:pPr>
        <w:widowControl w:val="0"/>
        <w:suppressAutoHyphens/>
        <w:ind w:left="357"/>
        <w:jc w:val="both"/>
        <w:rPr>
          <w:sz w:val="22"/>
          <w:szCs w:val="22"/>
        </w:rPr>
      </w:pPr>
    </w:p>
    <w:bookmarkEnd w:id="11"/>
    <w:p w14:paraId="1F9193BC"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předmět smlouvy</w:t>
      </w:r>
    </w:p>
    <w:p w14:paraId="2EDD632C" w14:textId="77777777" w:rsidR="00104DA2" w:rsidRPr="00F2162C" w:rsidRDefault="00104DA2" w:rsidP="00104DA2">
      <w:pPr>
        <w:widowControl w:val="0"/>
        <w:suppressAutoHyphens/>
        <w:ind w:left="709"/>
        <w:jc w:val="both"/>
        <w:rPr>
          <w:sz w:val="22"/>
          <w:szCs w:val="22"/>
        </w:rPr>
      </w:pPr>
    </w:p>
    <w:bookmarkEnd w:id="9"/>
    <w:p w14:paraId="7E325A95"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Předmětem této </w:t>
      </w:r>
      <w:r>
        <w:rPr>
          <w:rFonts w:ascii="Times New Roman" w:hAnsi="Times New Roman"/>
          <w:szCs w:val="22"/>
        </w:rPr>
        <w:t>Smlouv</w:t>
      </w:r>
      <w:r w:rsidRPr="00F2162C">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F2162C">
        <w:rPr>
          <w:rFonts w:ascii="Times New Roman" w:hAnsi="Times New Roman"/>
          <w:szCs w:val="22"/>
        </w:rPr>
        <w:t>ou Straně kupující Předmět prodeje se všemi součástmi a příslušenstvím, právy a povinnostmi, vše tak jak stojí a leží (</w:t>
      </w:r>
      <w:proofErr w:type="spellStart"/>
      <w:r w:rsidRPr="00F2162C">
        <w:rPr>
          <w:rFonts w:ascii="Times New Roman" w:hAnsi="Times New Roman"/>
          <w:szCs w:val="22"/>
        </w:rPr>
        <w:t>úhrnkem</w:t>
      </w:r>
      <w:proofErr w:type="spellEnd"/>
      <w:r w:rsidRPr="00F2162C">
        <w:rPr>
          <w:rFonts w:ascii="Times New Roman" w:hAnsi="Times New Roman"/>
          <w:szCs w:val="22"/>
        </w:rPr>
        <w:t>) dle § 1918 občanského zákoníku, a Strana kupující Předmět prodeje kupuje a přijímá do svého výlučného vlastnictví, vše tak jak stojí a leží, to vše za níže sjednanou kupní cenu.</w:t>
      </w:r>
    </w:p>
    <w:p w14:paraId="6CCA10E5" w14:textId="77777777" w:rsidR="00104DA2" w:rsidRPr="00F2162C" w:rsidRDefault="00104DA2" w:rsidP="00104DA2">
      <w:pPr>
        <w:pStyle w:val="Odstavecseseznamem"/>
        <w:rPr>
          <w:sz w:val="22"/>
          <w:szCs w:val="22"/>
        </w:rPr>
      </w:pPr>
    </w:p>
    <w:p w14:paraId="1EF70A51" w14:textId="77777777" w:rsidR="00104DA2" w:rsidRPr="00F2162C" w:rsidRDefault="00104DA2" w:rsidP="00104DA2">
      <w:pPr>
        <w:pStyle w:val="Odstavecseseznamem"/>
        <w:rPr>
          <w:sz w:val="22"/>
          <w:szCs w:val="22"/>
        </w:rPr>
      </w:pPr>
    </w:p>
    <w:p w14:paraId="06539946"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kupní cena</w:t>
      </w:r>
    </w:p>
    <w:p w14:paraId="502BCFB8" w14:textId="77777777" w:rsidR="00104DA2" w:rsidRPr="00F2162C" w:rsidRDefault="00104DA2" w:rsidP="00104DA2">
      <w:pPr>
        <w:widowControl w:val="0"/>
        <w:jc w:val="center"/>
        <w:rPr>
          <w:b/>
          <w:sz w:val="22"/>
          <w:szCs w:val="22"/>
        </w:rPr>
      </w:pPr>
    </w:p>
    <w:p w14:paraId="3BCCB60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touto </w:t>
      </w:r>
      <w:r>
        <w:rPr>
          <w:rFonts w:ascii="Times New Roman" w:hAnsi="Times New Roman"/>
          <w:szCs w:val="22"/>
        </w:rPr>
        <w:t>Smlouv</w:t>
      </w:r>
      <w:r w:rsidRPr="00F2162C">
        <w:rPr>
          <w:rFonts w:ascii="Times New Roman" w:hAnsi="Times New Roman"/>
          <w:szCs w:val="22"/>
        </w:rPr>
        <w:t xml:space="preserve">ou prodává Straně kupující Předmět prodeje za dohodnutou kupní cenu ve výši </w:t>
      </w:r>
      <w:r w:rsidRPr="00F2162C">
        <w:rPr>
          <w:rFonts w:ascii="Times New Roman" w:hAnsi="Times New Roman"/>
          <w:bCs/>
          <w:szCs w:val="22"/>
          <w:highlight w:val="yellow"/>
        </w:rPr>
        <w:t>[BUDE DOPLNĚNO]</w:t>
      </w:r>
      <w:r w:rsidRPr="00F2162C">
        <w:rPr>
          <w:rFonts w:ascii="Times New Roman" w:hAnsi="Times New Roman"/>
          <w:szCs w:val="22"/>
        </w:rPr>
        <w:t xml:space="preserve">,- Kč (slovy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korun českých) (dále jako „</w:t>
      </w:r>
      <w:r w:rsidRPr="00F2162C">
        <w:rPr>
          <w:rFonts w:ascii="Times New Roman" w:hAnsi="Times New Roman"/>
          <w:b/>
          <w:szCs w:val="22"/>
        </w:rPr>
        <w:t>Kupní cena</w:t>
      </w:r>
      <w:r w:rsidRPr="00F2162C">
        <w:rPr>
          <w:rFonts w:ascii="Times New Roman" w:hAnsi="Times New Roman"/>
          <w:szCs w:val="22"/>
        </w:rPr>
        <w:t>“).</w:t>
      </w:r>
    </w:p>
    <w:p w14:paraId="376F67B5"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7EA63B2"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kupující zaplatila celou Kupní cenu před podpisem této </w:t>
      </w:r>
      <w:r>
        <w:rPr>
          <w:rFonts w:ascii="Times New Roman" w:hAnsi="Times New Roman"/>
          <w:szCs w:val="22"/>
        </w:rPr>
        <w:t>Smlouv</w:t>
      </w:r>
      <w:r w:rsidRPr="00F2162C">
        <w:rPr>
          <w:rFonts w:ascii="Times New Roman" w:hAnsi="Times New Roman"/>
          <w:szCs w:val="22"/>
        </w:rPr>
        <w:t>y tak, že:</w:t>
      </w:r>
    </w:p>
    <w:p w14:paraId="05FF6E72" w14:textId="77777777" w:rsidR="00104DA2" w:rsidRPr="00F2162C" w:rsidRDefault="00104DA2" w:rsidP="00104DA2">
      <w:pPr>
        <w:pStyle w:val="11slovantext"/>
        <w:numPr>
          <w:ilvl w:val="0"/>
          <w:numId w:val="37"/>
        </w:numPr>
        <w:tabs>
          <w:tab w:val="left" w:pos="708"/>
        </w:tabs>
        <w:spacing w:after="0" w:line="240" w:lineRule="auto"/>
        <w:ind w:left="924" w:hanging="357"/>
        <w:rPr>
          <w:rFonts w:ascii="Times New Roman" w:hAnsi="Times New Roman"/>
          <w:bCs/>
          <w:szCs w:val="22"/>
        </w:rPr>
      </w:pPr>
      <w:r w:rsidRPr="00F2162C">
        <w:rPr>
          <w:rFonts w:ascii="Times New Roman" w:hAnsi="Times New Roman"/>
          <w:szCs w:val="22"/>
        </w:rPr>
        <w:t xml:space="preserve">dne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uhradila Strana kupující kauci na účast ve Vyhledávacím řízení ve výši </w:t>
      </w:r>
      <w:r w:rsidRPr="00F2162C">
        <w:rPr>
          <w:rFonts w:ascii="Times New Roman" w:hAnsi="Times New Roman"/>
          <w:bCs/>
          <w:szCs w:val="22"/>
        </w:rPr>
        <w:t>600.000</w:t>
      </w:r>
      <w:r w:rsidRPr="00F2162C">
        <w:rPr>
          <w:rFonts w:ascii="Times New Roman" w:hAnsi="Times New Roman"/>
          <w:snapToGrid w:val="0"/>
          <w:szCs w:val="22"/>
        </w:rPr>
        <w:t xml:space="preserve">,- Kč (slovy </w:t>
      </w:r>
      <w:r w:rsidRPr="00F2162C">
        <w:rPr>
          <w:rFonts w:ascii="Times New Roman" w:hAnsi="Times New Roman"/>
          <w:bCs/>
          <w:szCs w:val="22"/>
        </w:rPr>
        <w:t xml:space="preserve">šest set tisíc </w:t>
      </w:r>
      <w:r w:rsidRPr="00F2162C">
        <w:rPr>
          <w:rFonts w:ascii="Times New Roman" w:hAnsi="Times New Roman"/>
          <w:szCs w:val="22"/>
        </w:rPr>
        <w:t xml:space="preserve"> </w:t>
      </w:r>
      <w:r w:rsidRPr="00F2162C">
        <w:rPr>
          <w:rFonts w:ascii="Times New Roman" w:hAnsi="Times New Roman"/>
          <w:snapToGrid w:val="0"/>
          <w:szCs w:val="22"/>
        </w:rPr>
        <w:t>korun českých</w:t>
      </w:r>
      <w:r w:rsidRPr="00F2162C">
        <w:rPr>
          <w:rFonts w:ascii="Times New Roman" w:hAnsi="Times New Roman"/>
          <w:szCs w:val="22"/>
        </w:rPr>
        <w:t xml:space="preserve">), a to na účet majetkové podstaty Dlužníka </w:t>
      </w:r>
      <w:bookmarkStart w:id="12" w:name="_Hlk147326127"/>
      <w:r w:rsidRPr="00F2162C">
        <w:rPr>
          <w:rFonts w:ascii="Times New Roman" w:hAnsi="Times New Roman"/>
          <w:szCs w:val="22"/>
        </w:rPr>
        <w:t>č. 1161004218/2700</w:t>
      </w:r>
      <w:r w:rsidRPr="00F2162C">
        <w:rPr>
          <w:rFonts w:ascii="Times New Roman" w:hAnsi="Times New Roman"/>
          <w:b/>
          <w:bCs/>
          <w:szCs w:val="22"/>
        </w:rPr>
        <w:t xml:space="preserve"> </w:t>
      </w:r>
      <w:r w:rsidRPr="00F2162C">
        <w:rPr>
          <w:rFonts w:ascii="Times New Roman" w:hAnsi="Times New Roman"/>
          <w:bCs/>
          <w:szCs w:val="22"/>
        </w:rPr>
        <w:t xml:space="preserve">vedený u </w:t>
      </w:r>
      <w:proofErr w:type="spellStart"/>
      <w:r w:rsidRPr="00F2162C">
        <w:rPr>
          <w:rFonts w:ascii="Times New Roman" w:hAnsi="Times New Roman"/>
          <w:bCs/>
          <w:szCs w:val="22"/>
        </w:rPr>
        <w:t>UniCredit</w:t>
      </w:r>
      <w:proofErr w:type="spellEnd"/>
      <w:r w:rsidRPr="00F2162C">
        <w:rPr>
          <w:rFonts w:ascii="Times New Roman" w:hAnsi="Times New Roman"/>
          <w:bCs/>
          <w:szCs w:val="22"/>
        </w:rPr>
        <w:t xml:space="preserve"> Bank Czech Republic and Slovakia, a.s., </w:t>
      </w:r>
      <w:bookmarkEnd w:id="12"/>
      <w:r w:rsidRPr="00F2162C">
        <w:rPr>
          <w:rFonts w:ascii="Times New Roman" w:hAnsi="Times New Roman"/>
          <w:bCs/>
          <w:szCs w:val="22"/>
        </w:rPr>
        <w:t xml:space="preserve">pod variabilním symbolem </w:t>
      </w:r>
      <w:r w:rsidRPr="00F2162C">
        <w:rPr>
          <w:rFonts w:ascii="Times New Roman" w:hAnsi="Times New Roman"/>
          <w:bCs/>
          <w:szCs w:val="22"/>
          <w:highlight w:val="yellow"/>
        </w:rPr>
        <w:t>[BUDE DOPLNĚNO]</w:t>
      </w:r>
      <w:r w:rsidRPr="00F2162C">
        <w:rPr>
          <w:rFonts w:ascii="Times New Roman" w:hAnsi="Times New Roman"/>
          <w:bCs/>
          <w:szCs w:val="22"/>
        </w:rPr>
        <w:t xml:space="preserve">, specifický symbol </w:t>
      </w:r>
      <w:r w:rsidRPr="00F2162C">
        <w:rPr>
          <w:rFonts w:ascii="Times New Roman" w:hAnsi="Times New Roman"/>
          <w:bCs/>
          <w:szCs w:val="22"/>
          <w:highlight w:val="yellow"/>
        </w:rPr>
        <w:t>[BUDE DOPLNĚNO]</w:t>
      </w:r>
      <w:r w:rsidRPr="00F2162C">
        <w:rPr>
          <w:rFonts w:ascii="Times New Roman" w:hAnsi="Times New Roman"/>
          <w:bCs/>
          <w:szCs w:val="22"/>
        </w:rPr>
        <w:t xml:space="preserve">, což Strana prodávající podpisem této </w:t>
      </w:r>
      <w:r>
        <w:rPr>
          <w:rFonts w:ascii="Times New Roman" w:hAnsi="Times New Roman"/>
          <w:bCs/>
          <w:szCs w:val="22"/>
        </w:rPr>
        <w:t>Smlouv</w:t>
      </w:r>
      <w:r w:rsidRPr="00F2162C">
        <w:rPr>
          <w:rFonts w:ascii="Times New Roman" w:hAnsi="Times New Roman"/>
          <w:bCs/>
          <w:szCs w:val="22"/>
        </w:rPr>
        <w:t xml:space="preserve">y stvrzuje; Strana prodávající stvrzuje, že tato částka již byla poukázána na účet </w:t>
      </w:r>
      <w:r w:rsidRPr="00F2162C">
        <w:rPr>
          <w:rFonts w:ascii="Times New Roman" w:hAnsi="Times New Roman"/>
          <w:szCs w:val="22"/>
        </w:rPr>
        <w:t xml:space="preserve">majetkové podstaty Dlužníka (výše i níže v tomto článku uvedený), a tedy že </w:t>
      </w:r>
      <w:r w:rsidRPr="00F2162C">
        <w:rPr>
          <w:rFonts w:ascii="Times New Roman" w:hAnsi="Times New Roman"/>
          <w:bCs/>
          <w:szCs w:val="22"/>
        </w:rPr>
        <w:t xml:space="preserve">tato část kupní ceny byla zaplacena; </w:t>
      </w:r>
    </w:p>
    <w:p w14:paraId="333CC988" w14:textId="77777777" w:rsidR="00104DA2" w:rsidRPr="00F2162C" w:rsidRDefault="00104DA2" w:rsidP="00104DA2">
      <w:pPr>
        <w:pStyle w:val="11slovantext"/>
        <w:numPr>
          <w:ilvl w:val="0"/>
          <w:numId w:val="37"/>
        </w:numPr>
        <w:tabs>
          <w:tab w:val="left" w:pos="708"/>
        </w:tabs>
        <w:spacing w:after="0" w:line="240" w:lineRule="auto"/>
        <w:ind w:left="924" w:hanging="357"/>
        <w:rPr>
          <w:rFonts w:ascii="Times New Roman" w:hAnsi="Times New Roman"/>
          <w:bCs/>
          <w:szCs w:val="22"/>
        </w:rPr>
      </w:pPr>
      <w:r w:rsidRPr="00F2162C">
        <w:rPr>
          <w:rFonts w:ascii="Times New Roman" w:hAnsi="Times New Roman"/>
          <w:bCs/>
          <w:szCs w:val="22"/>
        </w:rPr>
        <w:t xml:space="preserve">část Kupní ceny ve výši </w:t>
      </w:r>
      <w:r w:rsidRPr="00F2162C">
        <w:rPr>
          <w:rFonts w:ascii="Times New Roman" w:hAnsi="Times New Roman"/>
          <w:bCs/>
          <w:szCs w:val="22"/>
          <w:highlight w:val="yellow"/>
        </w:rPr>
        <w:t>[BUDE DOPLNĚNO]</w:t>
      </w:r>
      <w:r w:rsidRPr="00F2162C">
        <w:rPr>
          <w:rFonts w:ascii="Times New Roman" w:hAnsi="Times New Roman"/>
          <w:szCs w:val="22"/>
        </w:rPr>
        <w:t xml:space="preserve">,- (slovy: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korun českých) uhradila Strana kupující na účet majetkové podstaty Dlužníka č. 1161004218/2700</w:t>
      </w:r>
      <w:r w:rsidRPr="00F2162C">
        <w:rPr>
          <w:rFonts w:ascii="Times New Roman" w:hAnsi="Times New Roman"/>
          <w:b/>
          <w:bCs/>
          <w:szCs w:val="22"/>
        </w:rPr>
        <w:t xml:space="preserve"> </w:t>
      </w:r>
      <w:r w:rsidRPr="00F2162C">
        <w:rPr>
          <w:rFonts w:ascii="Times New Roman" w:hAnsi="Times New Roman"/>
          <w:bCs/>
          <w:szCs w:val="22"/>
        </w:rPr>
        <w:t xml:space="preserve">vedený u </w:t>
      </w:r>
      <w:proofErr w:type="spellStart"/>
      <w:r w:rsidRPr="00F2162C">
        <w:rPr>
          <w:rFonts w:ascii="Times New Roman" w:hAnsi="Times New Roman"/>
          <w:bCs/>
          <w:szCs w:val="22"/>
        </w:rPr>
        <w:t>UniCredit</w:t>
      </w:r>
      <w:proofErr w:type="spellEnd"/>
      <w:r w:rsidRPr="00F2162C">
        <w:rPr>
          <w:rFonts w:ascii="Times New Roman" w:hAnsi="Times New Roman"/>
          <w:bCs/>
          <w:szCs w:val="22"/>
        </w:rPr>
        <w:t xml:space="preserve"> Bank Czech Republic and Slovakia, a.s.</w:t>
      </w:r>
      <w:r w:rsidRPr="00F2162C">
        <w:rPr>
          <w:rFonts w:ascii="Times New Roman" w:hAnsi="Times New Roman"/>
          <w:szCs w:val="22"/>
        </w:rPr>
        <w:t xml:space="preserve">, pod variabilním symbolem </w:t>
      </w:r>
      <w:r w:rsidRPr="00F2162C">
        <w:rPr>
          <w:rFonts w:ascii="Times New Roman" w:hAnsi="Times New Roman"/>
          <w:bCs/>
          <w:szCs w:val="22"/>
          <w:highlight w:val="yellow"/>
        </w:rPr>
        <w:t>[BUDE DOPLNĚNO]</w:t>
      </w:r>
      <w:r w:rsidRPr="00F2162C">
        <w:rPr>
          <w:rFonts w:ascii="Times New Roman" w:hAnsi="Times New Roman"/>
          <w:szCs w:val="22"/>
        </w:rPr>
        <w:t>, což</w:t>
      </w:r>
      <w:r w:rsidRPr="00F2162C">
        <w:rPr>
          <w:rFonts w:ascii="Times New Roman" w:hAnsi="Times New Roman"/>
          <w:bCs/>
          <w:szCs w:val="22"/>
        </w:rPr>
        <w:t xml:space="preserve"> Strana prodávající podpisem této </w:t>
      </w:r>
      <w:r>
        <w:rPr>
          <w:rFonts w:ascii="Times New Roman" w:hAnsi="Times New Roman"/>
          <w:bCs/>
          <w:szCs w:val="22"/>
        </w:rPr>
        <w:t>Smlouv</w:t>
      </w:r>
      <w:r w:rsidRPr="00F2162C">
        <w:rPr>
          <w:rFonts w:ascii="Times New Roman" w:hAnsi="Times New Roman"/>
          <w:bCs/>
          <w:szCs w:val="22"/>
        </w:rPr>
        <w:t>y stvrzuje.</w:t>
      </w:r>
    </w:p>
    <w:p w14:paraId="3E0C3023" w14:textId="77777777" w:rsidR="00104DA2" w:rsidRPr="00F2162C" w:rsidRDefault="00104DA2" w:rsidP="00104DA2">
      <w:pPr>
        <w:pStyle w:val="Odstavecseseznamem"/>
        <w:rPr>
          <w:sz w:val="22"/>
          <w:szCs w:val="22"/>
        </w:rPr>
      </w:pPr>
    </w:p>
    <w:p w14:paraId="749F7E5C"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F2162C">
        <w:rPr>
          <w:rFonts w:ascii="Times New Roman" w:hAnsi="Times New Roman"/>
          <w:szCs w:val="22"/>
        </w:rPr>
        <w:t>y do katastru nemovitostí.</w:t>
      </w:r>
    </w:p>
    <w:p w14:paraId="25BF92D9"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171596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Náklady spojené s touto </w:t>
      </w:r>
      <w:r>
        <w:rPr>
          <w:rFonts w:ascii="Times New Roman" w:hAnsi="Times New Roman"/>
          <w:szCs w:val="22"/>
        </w:rPr>
        <w:t>Smlouv</w:t>
      </w:r>
      <w:r w:rsidRPr="00F2162C">
        <w:rPr>
          <w:rFonts w:ascii="Times New Roman" w:hAnsi="Times New Roman"/>
          <w:szCs w:val="22"/>
        </w:rPr>
        <w:t xml:space="preserve">ou si nesou </w:t>
      </w:r>
      <w:r>
        <w:rPr>
          <w:rFonts w:ascii="Times New Roman" w:hAnsi="Times New Roman"/>
          <w:szCs w:val="22"/>
        </w:rPr>
        <w:t>S</w:t>
      </w:r>
      <w:r w:rsidRPr="00F2162C">
        <w:rPr>
          <w:rFonts w:ascii="Times New Roman" w:hAnsi="Times New Roman"/>
          <w:szCs w:val="22"/>
        </w:rPr>
        <w:t xml:space="preserve">trany samostatně, vyjma poplatku za zahájení řízení o vkladu vlastnického práva u příslušného katastrálního úřadu a za zahájení řízení o vkladu výmazu zástavních práv a omezení vlastnických práv u příslušného katastrálního úřadu ve výši celkem 4.000,- Kč, které se zavazuje uhradit Strana kupující do 10 (deseti) dnů ode dne podpisu této </w:t>
      </w:r>
      <w:r>
        <w:rPr>
          <w:rFonts w:ascii="Times New Roman" w:hAnsi="Times New Roman"/>
          <w:szCs w:val="22"/>
        </w:rPr>
        <w:t>Smlouv</w:t>
      </w:r>
      <w:r w:rsidRPr="00F2162C">
        <w:rPr>
          <w:rFonts w:ascii="Times New Roman" w:hAnsi="Times New Roman"/>
          <w:szCs w:val="22"/>
        </w:rPr>
        <w:t xml:space="preserve">y na účet Zúčastněného subjektu č. 2401782890/2010 vedený u Fio banka, a.s., variabilní symbol </w:t>
      </w:r>
      <w:r w:rsidRPr="00F2162C">
        <w:rPr>
          <w:rFonts w:ascii="Times New Roman" w:hAnsi="Times New Roman"/>
          <w:bCs/>
          <w:szCs w:val="22"/>
          <w:highlight w:val="yellow"/>
        </w:rPr>
        <w:t>[BUDE DOPLNĚNO]</w:t>
      </w:r>
      <w:r w:rsidRPr="00F2162C">
        <w:rPr>
          <w:rFonts w:ascii="Times New Roman" w:hAnsi="Times New Roman"/>
          <w:szCs w:val="22"/>
        </w:rPr>
        <w:t xml:space="preserve">, specifický symbol </w:t>
      </w:r>
      <w:r w:rsidRPr="00F2162C">
        <w:rPr>
          <w:rFonts w:ascii="Times New Roman" w:hAnsi="Times New Roman"/>
          <w:bCs/>
          <w:szCs w:val="22"/>
          <w:highlight w:val="yellow"/>
        </w:rPr>
        <w:t>[BUDE DOPLNĚNO]</w:t>
      </w:r>
      <w:r w:rsidRPr="00F2162C">
        <w:rPr>
          <w:rFonts w:ascii="Times New Roman" w:hAnsi="Times New Roman"/>
          <w:i/>
          <w:iCs/>
          <w:szCs w:val="22"/>
        </w:rPr>
        <w:t>.</w:t>
      </w:r>
      <w:r w:rsidRPr="00F2162C">
        <w:rPr>
          <w:rFonts w:ascii="Times New Roman" w:hAnsi="Times New Roman"/>
          <w:szCs w:val="22"/>
        </w:rPr>
        <w:t xml:space="preserve"> Zúčastněný subjekt předmětné návrhy podá dle uděleného zmocnění příslušnému katastrálnímu úřadu.</w:t>
      </w:r>
    </w:p>
    <w:p w14:paraId="065E563B" w14:textId="77777777" w:rsidR="00104DA2" w:rsidRPr="00F2162C" w:rsidRDefault="00104DA2" w:rsidP="00104DA2">
      <w:pPr>
        <w:widowControl w:val="0"/>
        <w:tabs>
          <w:tab w:val="left" w:pos="1072"/>
        </w:tabs>
        <w:jc w:val="center"/>
        <w:rPr>
          <w:b/>
          <w:sz w:val="22"/>
          <w:szCs w:val="22"/>
        </w:rPr>
      </w:pPr>
    </w:p>
    <w:p w14:paraId="6C1EBD98"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PRÁVA A ZÁVAZKY VÁZNOUCÍ NA PŘEDMĚTU PRODEJE</w:t>
      </w:r>
    </w:p>
    <w:p w14:paraId="725C57D8" w14:textId="77777777" w:rsidR="00104DA2" w:rsidRPr="00F2162C" w:rsidRDefault="00104DA2" w:rsidP="00104DA2">
      <w:pPr>
        <w:widowControl w:val="0"/>
        <w:jc w:val="center"/>
        <w:rPr>
          <w:b/>
          <w:sz w:val="22"/>
          <w:szCs w:val="22"/>
          <w:highlight w:val="yellow"/>
        </w:rPr>
      </w:pPr>
    </w:p>
    <w:p w14:paraId="5BA2DB66"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prohlašuje, že na listu vlastnictví č.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pro katastrální území </w:t>
      </w:r>
      <w:r w:rsidRPr="00F2162C">
        <w:rPr>
          <w:rFonts w:ascii="Times New Roman" w:hAnsi="Times New Roman"/>
          <w:bCs/>
          <w:szCs w:val="22"/>
          <w:highlight w:val="yellow"/>
        </w:rPr>
        <w:t>[BUDE DOPLNĚNO]</w:t>
      </w:r>
      <w:r w:rsidRPr="00F2162C">
        <w:rPr>
          <w:rFonts w:ascii="Times New Roman" w:hAnsi="Times New Roman"/>
          <w:szCs w:val="22"/>
        </w:rPr>
        <w:t xml:space="preserve">, obec </w:t>
      </w:r>
      <w:r w:rsidRPr="00F2162C">
        <w:rPr>
          <w:rFonts w:ascii="Times New Roman" w:hAnsi="Times New Roman"/>
          <w:bCs/>
          <w:szCs w:val="22"/>
          <w:highlight w:val="yellow"/>
        </w:rPr>
        <w:t>[BUDE DOPLNĚNO]</w:t>
      </w:r>
      <w:r w:rsidRPr="00F2162C">
        <w:rPr>
          <w:rFonts w:ascii="Times New Roman" w:hAnsi="Times New Roman"/>
          <w:szCs w:val="22"/>
        </w:rPr>
        <w:t>, jsou ve vztahu k Předmětu prodeje zapsána tato zástavní práva a omezení vlastnického práva:</w:t>
      </w:r>
    </w:p>
    <w:p w14:paraId="11C7C17B" w14:textId="77777777" w:rsidR="00104DA2" w:rsidRPr="00A54F40" w:rsidRDefault="00104DA2" w:rsidP="00104DA2">
      <w:pPr>
        <w:pStyle w:val="Odstavecseseznamem"/>
        <w:numPr>
          <w:ilvl w:val="0"/>
          <w:numId w:val="40"/>
        </w:numPr>
        <w:autoSpaceDE w:val="0"/>
        <w:autoSpaceDN w:val="0"/>
        <w:adjustRightInd w:val="0"/>
        <w:ind w:left="924" w:hanging="357"/>
        <w:contextualSpacing/>
        <w:jc w:val="both"/>
        <w:rPr>
          <w:sz w:val="22"/>
          <w:szCs w:val="22"/>
        </w:rPr>
      </w:pPr>
      <w:bookmarkStart w:id="13" w:name="_Hlk84851487"/>
      <w:bookmarkStart w:id="14" w:name="_Hlk491944317"/>
      <w:r w:rsidRPr="00A54F40">
        <w:rPr>
          <w:bCs/>
          <w:sz w:val="22"/>
          <w:szCs w:val="22"/>
          <w:highlight w:val="yellow"/>
        </w:rPr>
        <w:t>[</w:t>
      </w:r>
      <w:r w:rsidRPr="00A54F40">
        <w:rPr>
          <w:sz w:val="22"/>
          <w:szCs w:val="22"/>
          <w:highlight w:val="yellow"/>
        </w:rPr>
        <w:t>bude doplněno dle stavu na LV ke dni uzavření kupní smlouvy</w:t>
      </w:r>
      <w:r w:rsidRPr="00A54F40">
        <w:rPr>
          <w:bCs/>
          <w:sz w:val="22"/>
          <w:szCs w:val="22"/>
          <w:highlight w:val="yellow"/>
        </w:rPr>
        <w:t>]</w:t>
      </w:r>
      <w:r w:rsidRPr="00A54F40">
        <w:rPr>
          <w:bCs/>
          <w:sz w:val="22"/>
          <w:szCs w:val="22"/>
        </w:rPr>
        <w:t>,</w:t>
      </w:r>
      <w:r w:rsidRPr="00A54F40">
        <w:rPr>
          <w:sz w:val="22"/>
          <w:szCs w:val="22"/>
        </w:rPr>
        <w:t xml:space="preserve"> </w:t>
      </w:r>
    </w:p>
    <w:bookmarkEnd w:id="13"/>
    <w:p w14:paraId="375654F7" w14:textId="77777777" w:rsidR="00104DA2" w:rsidRPr="00F2162C" w:rsidRDefault="00104DA2" w:rsidP="00104DA2">
      <w:pPr>
        <w:pStyle w:val="Odstavecseseznamem"/>
        <w:autoSpaceDE w:val="0"/>
        <w:autoSpaceDN w:val="0"/>
        <w:adjustRightInd w:val="0"/>
        <w:ind w:left="927"/>
        <w:jc w:val="both"/>
        <w:rPr>
          <w:sz w:val="22"/>
          <w:szCs w:val="22"/>
        </w:rPr>
      </w:pPr>
    </w:p>
    <w:bookmarkEnd w:id="14"/>
    <w:p w14:paraId="060653F0"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Dle </w:t>
      </w:r>
      <w:proofErr w:type="spellStart"/>
      <w:r w:rsidRPr="00F2162C">
        <w:rPr>
          <w:rFonts w:ascii="Times New Roman" w:hAnsi="Times New Roman"/>
          <w:szCs w:val="22"/>
        </w:rPr>
        <w:t>ust</w:t>
      </w:r>
      <w:proofErr w:type="spellEnd"/>
      <w:r w:rsidRPr="00F2162C">
        <w:rPr>
          <w:rFonts w:ascii="Times New Roman" w:hAnsi="Times New Roman"/>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F2162C">
        <w:rPr>
          <w:rFonts w:ascii="Times New Roman" w:hAnsi="Times New Roman"/>
          <w:szCs w:val="22"/>
        </w:rPr>
        <w:t>ust</w:t>
      </w:r>
      <w:proofErr w:type="spellEnd"/>
      <w:r w:rsidRPr="00F2162C">
        <w:rPr>
          <w:rFonts w:ascii="Times New Roman" w:hAnsi="Times New Roman"/>
          <w:szCs w:val="22"/>
        </w:rPr>
        <w:t xml:space="preserve">.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F2162C">
          <w:rPr>
            <w:rFonts w:ascii="Times New Roman" w:hAnsi="Times New Roman"/>
            <w:szCs w:val="22"/>
          </w:rPr>
          <w:t>3 a</w:t>
        </w:r>
      </w:smartTag>
      <w:r w:rsidRPr="00F2162C">
        <w:rPr>
          <w:rFonts w:ascii="Times New Roman" w:hAnsi="Times New Roman"/>
          <w:szCs w:val="22"/>
        </w:rPr>
        <w:t xml:space="preserve"> 4 insolvenčního zákona a včetně závad zapsaných ve veřejném seznamu.</w:t>
      </w:r>
    </w:p>
    <w:p w14:paraId="06BEAA69"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lastRenderedPageBreak/>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5B9C2E8C" w14:textId="77777777" w:rsidR="00104DA2" w:rsidRPr="00F2162C" w:rsidRDefault="00104DA2" w:rsidP="00104DA2">
      <w:pPr>
        <w:pStyle w:val="Odstavecseseznamem"/>
        <w:rPr>
          <w:sz w:val="22"/>
          <w:szCs w:val="22"/>
        </w:rPr>
      </w:pPr>
    </w:p>
    <w:p w14:paraId="11B297BD"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Nájemní vztahy:</w:t>
      </w:r>
    </w:p>
    <w:p w14:paraId="0B73F033"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lang w:eastAsia="zh-CN"/>
        </w:rPr>
      </w:pPr>
      <w:r w:rsidRPr="00F2162C">
        <w:rPr>
          <w:rFonts w:ascii="Times New Roman" w:hAnsi="Times New Roman"/>
          <w:szCs w:val="22"/>
          <w:lang w:eastAsia="zh-CN"/>
        </w:rPr>
        <w:t>Strana prodávající prohlašuje a Strana kupující bere na vědomí, že na Předmětu prodeje váznou následující nájemní smlouvy:</w:t>
      </w:r>
      <w:r>
        <w:rPr>
          <w:rFonts w:ascii="Times New Roman" w:hAnsi="Times New Roman"/>
          <w:szCs w:val="22"/>
          <w:lang w:eastAsia="zh-CN"/>
        </w:rPr>
        <w:t xml:space="preserve"> </w:t>
      </w:r>
      <w:r w:rsidRPr="00A54F40">
        <w:rPr>
          <w:rFonts w:ascii="Times New Roman" w:hAnsi="Times New Roman"/>
          <w:bCs/>
          <w:szCs w:val="22"/>
          <w:highlight w:val="yellow"/>
        </w:rPr>
        <w:t>[</w:t>
      </w:r>
      <w:r w:rsidRPr="00A54F40">
        <w:rPr>
          <w:rFonts w:ascii="Times New Roman" w:hAnsi="Times New Roman"/>
          <w:szCs w:val="22"/>
          <w:highlight w:val="yellow"/>
        </w:rPr>
        <w:t>bude doplněno dle stavu ke dni uzavření kupní smlouvy</w:t>
      </w:r>
      <w:r w:rsidRPr="00A54F40">
        <w:rPr>
          <w:rFonts w:ascii="Times New Roman" w:hAnsi="Times New Roman"/>
          <w:szCs w:val="22"/>
          <w:highlight w:val="yellow"/>
          <w:lang w:val="en-GB"/>
        </w:rPr>
        <w:t>]</w:t>
      </w:r>
      <w:r w:rsidRPr="00F2162C">
        <w:rPr>
          <w:rFonts w:ascii="Times New Roman" w:hAnsi="Times New Roman"/>
          <w:szCs w:val="22"/>
        </w:rPr>
        <w:tab/>
      </w:r>
    </w:p>
    <w:p w14:paraId="79D29364"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1E6D4C61"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r w:rsidRPr="00F2162C">
        <w:rPr>
          <w:rFonts w:ascii="Times New Roman" w:hAnsi="Times New Roman"/>
          <w:szCs w:val="22"/>
        </w:rPr>
        <w:t>Strana kupující bere na vědomí, že nabytím vlastnického práva k Předmětu prodeje vstupuje v souladu s </w:t>
      </w:r>
      <w:proofErr w:type="spellStart"/>
      <w:r w:rsidRPr="00F2162C">
        <w:rPr>
          <w:rFonts w:ascii="Times New Roman" w:hAnsi="Times New Roman"/>
          <w:szCs w:val="22"/>
        </w:rPr>
        <w:t>ust</w:t>
      </w:r>
      <w:proofErr w:type="spellEnd"/>
      <w:r w:rsidRPr="00F2162C">
        <w:rPr>
          <w:rFonts w:ascii="Times New Roman" w:hAnsi="Times New Roman"/>
          <w:szCs w:val="22"/>
        </w:rPr>
        <w:t>. § 2221 odst. 1 občanského zákoníku do práv a povinností Strany prodávající (jako pronajímatele) ohledně výše uvedených nájemních vztahů sjednaných k Předmětu prodeje.</w:t>
      </w:r>
    </w:p>
    <w:p w14:paraId="6217F230"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BB30A2E" w14:textId="77777777" w:rsidR="00104DA2" w:rsidRPr="00F2162C" w:rsidRDefault="00104DA2" w:rsidP="00104DA2">
      <w:pPr>
        <w:pStyle w:val="11slovantext"/>
        <w:numPr>
          <w:ilvl w:val="0"/>
          <w:numId w:val="0"/>
        </w:numPr>
        <w:spacing w:after="0" w:line="240" w:lineRule="auto"/>
        <w:ind w:left="1049" w:hanging="567"/>
        <w:rPr>
          <w:rFonts w:ascii="Times New Roman" w:hAnsi="Times New Roman"/>
          <w:szCs w:val="22"/>
        </w:rPr>
      </w:pPr>
      <w:bookmarkStart w:id="15" w:name="_Hlk84940606"/>
      <w:bookmarkStart w:id="16" w:name="_Hlk90988739"/>
    </w:p>
    <w:p w14:paraId="2E9A7262" w14:textId="77777777" w:rsidR="00104DA2" w:rsidRPr="00F2162C" w:rsidRDefault="00104DA2" w:rsidP="00104DA2">
      <w:pPr>
        <w:widowControl w:val="0"/>
        <w:jc w:val="both"/>
        <w:rPr>
          <w:sz w:val="22"/>
          <w:szCs w:val="22"/>
        </w:rPr>
      </w:pPr>
    </w:p>
    <w:p w14:paraId="7622F41D"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DALŠÍ PROHLÁŠENÍ A ZÁVAZKY STRAN</w:t>
      </w:r>
    </w:p>
    <w:p w14:paraId="35FBE68F" w14:textId="77777777" w:rsidR="00104DA2" w:rsidRPr="00F2162C" w:rsidRDefault="00104DA2" w:rsidP="00104DA2">
      <w:pPr>
        <w:widowControl w:val="0"/>
        <w:jc w:val="center"/>
        <w:rPr>
          <w:b/>
          <w:sz w:val="22"/>
          <w:szCs w:val="22"/>
          <w:highlight w:val="yellow"/>
        </w:rPr>
      </w:pPr>
    </w:p>
    <w:bookmarkEnd w:id="15"/>
    <w:bookmarkEnd w:id="16"/>
    <w:p w14:paraId="1BC8D6B1"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w:t>
      </w:r>
      <w:r w:rsidRPr="00F2162C">
        <w:rPr>
          <w:rFonts w:ascii="Times New Roman" w:hAnsi="Times New Roman"/>
          <w:snapToGrid w:val="0"/>
          <w:szCs w:val="22"/>
        </w:rPr>
        <w:t xml:space="preserve">mlouvy vkladem vlastnického práva do katastru nemovitostí u příslušného katastrálního pracoviště. Na základě této </w:t>
      </w:r>
      <w:r>
        <w:rPr>
          <w:rFonts w:ascii="Times New Roman" w:hAnsi="Times New Roman"/>
          <w:snapToGrid w:val="0"/>
          <w:szCs w:val="22"/>
        </w:rPr>
        <w:t>S</w:t>
      </w:r>
      <w:r w:rsidRPr="00F2162C">
        <w:rPr>
          <w:rFonts w:ascii="Times New Roman" w:hAnsi="Times New Roman"/>
          <w:snapToGrid w:val="0"/>
          <w:szCs w:val="22"/>
        </w:rPr>
        <w:t>mlouvy lze zapsat vklad vlastnického práva k Předmětu prodeje do katastru nemovitostí pro Stranu kupující.</w:t>
      </w:r>
    </w:p>
    <w:p w14:paraId="02E0F682"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0B5D812B"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V případě pravomocného zastavení řízení o vkladu vlastnického práva k Předmětu prodeje nebo některým z nich pro </w:t>
      </w:r>
      <w:r w:rsidRPr="00F2162C">
        <w:rPr>
          <w:rFonts w:ascii="Times New Roman" w:hAnsi="Times New Roman"/>
          <w:snapToGrid w:val="0"/>
          <w:szCs w:val="22"/>
        </w:rPr>
        <w:t xml:space="preserve">Stranu kupující </w:t>
      </w:r>
      <w:r w:rsidRPr="00F2162C">
        <w:rPr>
          <w:rFonts w:ascii="Times New Roman" w:hAnsi="Times New Roman"/>
          <w:szCs w:val="22"/>
        </w:rPr>
        <w:t xml:space="preserve">nebo zamítnutí vkladu vlastnického práva k Předmětu prodeje nebo některým z nich pro </w:t>
      </w:r>
      <w:r w:rsidRPr="00F2162C">
        <w:rPr>
          <w:rFonts w:ascii="Times New Roman" w:hAnsi="Times New Roman"/>
          <w:snapToGrid w:val="0"/>
          <w:szCs w:val="22"/>
        </w:rPr>
        <w:t xml:space="preserve">Stranu kupující </w:t>
      </w:r>
      <w:r w:rsidRPr="00F2162C">
        <w:rPr>
          <w:rFonts w:ascii="Times New Roman" w:hAnsi="Times New Roman"/>
          <w:szCs w:val="22"/>
        </w:rPr>
        <w:t xml:space="preserve">katastrálním úřadem se zavazují všechny </w:t>
      </w:r>
      <w:r>
        <w:rPr>
          <w:rFonts w:ascii="Times New Roman" w:hAnsi="Times New Roman"/>
          <w:szCs w:val="22"/>
        </w:rPr>
        <w:t>S</w:t>
      </w:r>
      <w:r w:rsidRPr="00F2162C">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F2162C">
        <w:rPr>
          <w:rFonts w:ascii="Times New Roman" w:hAnsi="Times New Roman"/>
          <w:snapToGrid w:val="0"/>
          <w:szCs w:val="22"/>
        </w:rPr>
        <w:t xml:space="preserve">Stranu kupující </w:t>
      </w:r>
      <w:r w:rsidRPr="00F2162C">
        <w:rPr>
          <w:rFonts w:ascii="Times New Roman" w:hAnsi="Times New Roman"/>
          <w:szCs w:val="22"/>
        </w:rPr>
        <w:t>katastrálním úřadem umožnila.</w:t>
      </w:r>
    </w:p>
    <w:p w14:paraId="1D30FAFC" w14:textId="77777777" w:rsidR="00104DA2" w:rsidRPr="00F2162C" w:rsidRDefault="00104DA2" w:rsidP="00104DA2">
      <w:pPr>
        <w:pStyle w:val="Odstavecseseznamem"/>
        <w:rPr>
          <w:snapToGrid w:val="0"/>
          <w:sz w:val="22"/>
          <w:szCs w:val="22"/>
        </w:rPr>
      </w:pPr>
    </w:p>
    <w:p w14:paraId="7B194E08"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w:t>
      </w:r>
      <w:r w:rsidRPr="00F2162C">
        <w:rPr>
          <w:rFonts w:ascii="Times New Roman" w:hAnsi="Times New Roman"/>
          <w:szCs w:val="22"/>
        </w:rPr>
        <w:t xml:space="preserve">se zavazuje převzít </w:t>
      </w:r>
      <w:r w:rsidRPr="00F2162C">
        <w:rPr>
          <w:rFonts w:ascii="Times New Roman" w:hAnsi="Times New Roman"/>
          <w:snapToGrid w:val="0"/>
          <w:szCs w:val="22"/>
        </w:rPr>
        <w:t>Předmět prodeje</w:t>
      </w:r>
      <w:r w:rsidRPr="00F2162C">
        <w:rPr>
          <w:rFonts w:ascii="Times New Roman" w:hAnsi="Times New Roman"/>
          <w:szCs w:val="22"/>
        </w:rPr>
        <w:t xml:space="preserve"> od Strany prodávající do pěti (5) dnů ode dne výzvy </w:t>
      </w:r>
      <w:r w:rsidRPr="00F2162C">
        <w:rPr>
          <w:rFonts w:ascii="Times New Roman" w:hAnsi="Times New Roman"/>
          <w:snapToGrid w:val="0"/>
          <w:szCs w:val="22"/>
        </w:rPr>
        <w:t>Strany p</w:t>
      </w:r>
      <w:r w:rsidRPr="00F2162C">
        <w:rPr>
          <w:rFonts w:ascii="Times New Roman" w:hAnsi="Times New Roman"/>
          <w:szCs w:val="22"/>
        </w:rPr>
        <w:t xml:space="preserve">rodávající k převzetí. </w:t>
      </w:r>
      <w:r w:rsidRPr="00F2162C">
        <w:rPr>
          <w:rFonts w:ascii="Times New Roman" w:hAnsi="Times New Roman"/>
          <w:snapToGrid w:val="0"/>
          <w:szCs w:val="22"/>
        </w:rPr>
        <w:t>Strana p</w:t>
      </w:r>
      <w:r w:rsidRPr="00F2162C">
        <w:rPr>
          <w:rFonts w:ascii="Times New Roman" w:hAnsi="Times New Roman"/>
          <w:szCs w:val="22"/>
        </w:rPr>
        <w:t xml:space="preserve">rodávající se zavazuje vyzvat </w:t>
      </w:r>
      <w:r w:rsidRPr="00F2162C">
        <w:rPr>
          <w:rFonts w:ascii="Times New Roman" w:hAnsi="Times New Roman"/>
          <w:snapToGrid w:val="0"/>
          <w:szCs w:val="22"/>
        </w:rPr>
        <w:t xml:space="preserve">Stranu kupující </w:t>
      </w:r>
      <w:r w:rsidRPr="00F2162C">
        <w:rPr>
          <w:rFonts w:ascii="Times New Roman" w:hAnsi="Times New Roman"/>
          <w:szCs w:val="22"/>
        </w:rPr>
        <w:t xml:space="preserve">k převzetí </w:t>
      </w:r>
      <w:r w:rsidRPr="00F2162C">
        <w:rPr>
          <w:rFonts w:ascii="Times New Roman" w:hAnsi="Times New Roman"/>
          <w:snapToGrid w:val="0"/>
          <w:szCs w:val="22"/>
        </w:rPr>
        <w:t>Předmětu prodeje</w:t>
      </w:r>
      <w:r w:rsidRPr="00F2162C">
        <w:rPr>
          <w:rFonts w:ascii="Times New Roman" w:hAnsi="Times New Roman"/>
          <w:szCs w:val="22"/>
        </w:rPr>
        <w:t xml:space="preserve"> nejpozději do patnácti (15) dnů ode dne povolení vkladu vlastnického práva ve prospěch </w:t>
      </w:r>
      <w:r w:rsidRPr="00F2162C">
        <w:rPr>
          <w:rFonts w:ascii="Times New Roman" w:hAnsi="Times New Roman"/>
          <w:snapToGrid w:val="0"/>
          <w:szCs w:val="22"/>
        </w:rPr>
        <w:t xml:space="preserve">Strany kupující </w:t>
      </w:r>
      <w:r w:rsidRPr="00F2162C">
        <w:rPr>
          <w:rFonts w:ascii="Times New Roman" w:hAnsi="Times New Roman"/>
          <w:szCs w:val="22"/>
        </w:rPr>
        <w:t xml:space="preserve">do katastru nemovitostí. O předání a převzetí </w:t>
      </w:r>
      <w:r w:rsidRPr="00F2162C">
        <w:rPr>
          <w:rFonts w:ascii="Times New Roman" w:hAnsi="Times New Roman"/>
          <w:snapToGrid w:val="0"/>
          <w:szCs w:val="22"/>
        </w:rPr>
        <w:t xml:space="preserve">Předmětu prodeje </w:t>
      </w:r>
      <w:r w:rsidRPr="00F2162C">
        <w:rPr>
          <w:rFonts w:ascii="Times New Roman" w:hAnsi="Times New Roman"/>
          <w:szCs w:val="22"/>
        </w:rPr>
        <w:t xml:space="preserve">bude vypracován samostatný předávací protokol. </w:t>
      </w:r>
      <w:r w:rsidRPr="00F2162C">
        <w:rPr>
          <w:rFonts w:ascii="Times New Roman" w:hAnsi="Times New Roman"/>
          <w:snapToGrid w:val="0"/>
          <w:szCs w:val="22"/>
        </w:rPr>
        <w:t xml:space="preserve">Strana kupující </w:t>
      </w:r>
      <w:r w:rsidRPr="00F2162C">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F2162C">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w:t>
      </w:r>
      <w:r w:rsidRPr="00F2162C">
        <w:rPr>
          <w:rFonts w:ascii="Times New Roman" w:hAnsi="Times New Roman"/>
          <w:szCs w:val="22"/>
        </w:rPr>
        <w:t>mlouvou prodáváno, v celém rozsahu kupuje a přebírá.</w:t>
      </w:r>
    </w:p>
    <w:p w14:paraId="14D37837" w14:textId="77777777" w:rsidR="00104DA2" w:rsidRPr="00F2162C" w:rsidRDefault="00104DA2" w:rsidP="00104DA2">
      <w:pPr>
        <w:pStyle w:val="Odstavecseseznamem"/>
        <w:rPr>
          <w:snapToGrid w:val="0"/>
          <w:sz w:val="22"/>
          <w:szCs w:val="22"/>
        </w:rPr>
      </w:pPr>
    </w:p>
    <w:p w14:paraId="0FB7960C"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w:t>
      </w:r>
      <w:r w:rsidRPr="00F2162C">
        <w:rPr>
          <w:rFonts w:ascii="Times New Roman" w:hAnsi="Times New Roman"/>
          <w:szCs w:val="22"/>
        </w:rPr>
        <w:t xml:space="preserve">prohlašuje, že si nevymiňuje žádnou konkrétní vlastnost </w:t>
      </w:r>
      <w:r w:rsidRPr="00F2162C">
        <w:rPr>
          <w:rFonts w:ascii="Times New Roman" w:hAnsi="Times New Roman"/>
          <w:snapToGrid w:val="0"/>
          <w:szCs w:val="22"/>
        </w:rPr>
        <w:t>Předmětu prodeje</w:t>
      </w:r>
      <w:r w:rsidRPr="00F2162C">
        <w:rPr>
          <w:rFonts w:ascii="Times New Roman" w:hAnsi="Times New Roman"/>
          <w:szCs w:val="22"/>
        </w:rPr>
        <w:t xml:space="preserve">. </w:t>
      </w:r>
      <w:r w:rsidRPr="00F2162C">
        <w:rPr>
          <w:rFonts w:ascii="Times New Roman" w:hAnsi="Times New Roman"/>
          <w:snapToGrid w:val="0"/>
          <w:szCs w:val="22"/>
        </w:rPr>
        <w:t>Strana p</w:t>
      </w:r>
      <w:r w:rsidRPr="00F2162C">
        <w:rPr>
          <w:rFonts w:ascii="Times New Roman" w:hAnsi="Times New Roman"/>
          <w:szCs w:val="22"/>
        </w:rPr>
        <w:t xml:space="preserve">rodávající nenese žádnou odpovědnost za to, zda </w:t>
      </w:r>
      <w:r w:rsidRPr="00F2162C">
        <w:rPr>
          <w:rFonts w:ascii="Times New Roman" w:hAnsi="Times New Roman"/>
          <w:snapToGrid w:val="0"/>
          <w:szCs w:val="22"/>
        </w:rPr>
        <w:t xml:space="preserve">Strana kupující </w:t>
      </w:r>
      <w:r w:rsidRPr="00F2162C">
        <w:rPr>
          <w:rFonts w:ascii="Times New Roman" w:hAnsi="Times New Roman"/>
          <w:szCs w:val="22"/>
        </w:rPr>
        <w:t xml:space="preserve">bude moci </w:t>
      </w:r>
      <w:r w:rsidRPr="00F2162C">
        <w:rPr>
          <w:rFonts w:ascii="Times New Roman" w:hAnsi="Times New Roman"/>
          <w:snapToGrid w:val="0"/>
          <w:szCs w:val="22"/>
        </w:rPr>
        <w:t>Předmět prodeje</w:t>
      </w:r>
      <w:r w:rsidRPr="00F2162C">
        <w:rPr>
          <w:rFonts w:ascii="Times New Roman" w:hAnsi="Times New Roman"/>
          <w:szCs w:val="22"/>
        </w:rPr>
        <w:t xml:space="preserve"> využít k účelu zamýšlenému </w:t>
      </w:r>
      <w:r w:rsidRPr="00F2162C">
        <w:rPr>
          <w:rFonts w:ascii="Times New Roman" w:hAnsi="Times New Roman"/>
          <w:snapToGrid w:val="0"/>
          <w:szCs w:val="22"/>
        </w:rPr>
        <w:t>Stranou kupující</w:t>
      </w:r>
      <w:r w:rsidRPr="00F2162C">
        <w:rPr>
          <w:rFonts w:ascii="Times New Roman" w:hAnsi="Times New Roman"/>
          <w:szCs w:val="22"/>
        </w:rPr>
        <w:t xml:space="preserve">. Zejména </w:t>
      </w:r>
      <w:r w:rsidRPr="00F2162C">
        <w:rPr>
          <w:rFonts w:ascii="Times New Roman" w:hAnsi="Times New Roman"/>
          <w:snapToGrid w:val="0"/>
          <w:szCs w:val="22"/>
        </w:rPr>
        <w:t>Strana p</w:t>
      </w:r>
      <w:r w:rsidRPr="00F2162C">
        <w:rPr>
          <w:rFonts w:ascii="Times New Roman" w:hAnsi="Times New Roman"/>
          <w:szCs w:val="22"/>
        </w:rPr>
        <w:t xml:space="preserve">rodávající nepřebírá žádnou záruku za jakékoli vlastnosti </w:t>
      </w:r>
      <w:r w:rsidRPr="00F2162C">
        <w:rPr>
          <w:rFonts w:ascii="Times New Roman" w:hAnsi="Times New Roman"/>
          <w:snapToGrid w:val="0"/>
          <w:szCs w:val="22"/>
        </w:rPr>
        <w:t>Předmětu prodeje.</w:t>
      </w:r>
      <w:r w:rsidRPr="00F2162C">
        <w:rPr>
          <w:rFonts w:ascii="Times New Roman" w:hAnsi="Times New Roman"/>
          <w:szCs w:val="22"/>
        </w:rPr>
        <w:t xml:space="preserve"> Všichni účastníci se dohodli na vyloučení (omezení) odpovědnosti za vady </w:t>
      </w:r>
      <w:r w:rsidRPr="00F2162C">
        <w:rPr>
          <w:rFonts w:ascii="Times New Roman" w:hAnsi="Times New Roman"/>
          <w:snapToGrid w:val="0"/>
          <w:szCs w:val="22"/>
        </w:rPr>
        <w:t>Předmětu prodeje</w:t>
      </w:r>
      <w:r w:rsidRPr="00F2162C">
        <w:rPr>
          <w:rFonts w:ascii="Times New Roman" w:hAnsi="Times New Roman"/>
          <w:szCs w:val="22"/>
        </w:rPr>
        <w:t xml:space="preserve"> v plném rozsahu, v němž právní řád České republiky takové vyloučení (omezení) připouští.</w:t>
      </w:r>
      <w:r w:rsidRPr="00F2162C">
        <w:rPr>
          <w:rFonts w:ascii="Times New Roman" w:hAnsi="Times New Roman"/>
          <w:iCs/>
          <w:szCs w:val="22"/>
        </w:rPr>
        <w:t xml:space="preserve"> </w:t>
      </w:r>
      <w:bookmarkStart w:id="17" w:name="_Hlk90637717"/>
      <w:r w:rsidRPr="00F2162C">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F2162C">
        <w:rPr>
          <w:rFonts w:ascii="Times New Roman" w:hAnsi="Times New Roman"/>
          <w:iCs/>
          <w:szCs w:val="22"/>
        </w:rPr>
        <w:t>y odstoupit, to vše ve smyslu § 1916 odst. 2 občanského zákoníku.</w:t>
      </w:r>
      <w:bookmarkEnd w:id="17"/>
    </w:p>
    <w:p w14:paraId="11040974" w14:textId="77777777" w:rsidR="00104DA2" w:rsidRPr="00F2162C" w:rsidRDefault="00104DA2" w:rsidP="00104DA2">
      <w:pPr>
        <w:pStyle w:val="Odstavecseseznamem"/>
        <w:rPr>
          <w:sz w:val="22"/>
          <w:szCs w:val="22"/>
        </w:rPr>
      </w:pPr>
    </w:p>
    <w:p w14:paraId="62EB585E"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Nebezpečí škody na </w:t>
      </w:r>
      <w:r w:rsidRPr="00F2162C">
        <w:rPr>
          <w:rFonts w:ascii="Times New Roman" w:hAnsi="Times New Roman"/>
          <w:snapToGrid w:val="0"/>
          <w:szCs w:val="22"/>
        </w:rPr>
        <w:t>Předmětu prodeje</w:t>
      </w:r>
      <w:r w:rsidRPr="00F2162C">
        <w:rPr>
          <w:rFonts w:ascii="Times New Roman" w:hAnsi="Times New Roman"/>
          <w:szCs w:val="22"/>
        </w:rPr>
        <w:t xml:space="preserve"> přechází na Stranu kupující okamžikem předání ke dni uvedenému v předávacím protokolu. V případě, že Strana kupující nepřevezme </w:t>
      </w:r>
      <w:r w:rsidRPr="00F2162C">
        <w:rPr>
          <w:rFonts w:ascii="Times New Roman" w:hAnsi="Times New Roman"/>
          <w:snapToGrid w:val="0"/>
          <w:szCs w:val="22"/>
        </w:rPr>
        <w:t>Předmět prodeje</w:t>
      </w:r>
      <w:r w:rsidRPr="00F2162C">
        <w:rPr>
          <w:rFonts w:ascii="Times New Roman" w:hAnsi="Times New Roman"/>
          <w:szCs w:val="22"/>
        </w:rPr>
        <w:t xml:space="preserve"> ve lhůtě stanovené shora v odst. 4.3 tohoto článku, přechází nebezpečí škody na </w:t>
      </w:r>
      <w:r w:rsidRPr="00F2162C">
        <w:rPr>
          <w:rFonts w:ascii="Times New Roman" w:hAnsi="Times New Roman"/>
          <w:snapToGrid w:val="0"/>
          <w:szCs w:val="22"/>
        </w:rPr>
        <w:t>Předmětu prodeje</w:t>
      </w:r>
      <w:r w:rsidRPr="00F2162C">
        <w:rPr>
          <w:rFonts w:ascii="Times New Roman" w:hAnsi="Times New Roman"/>
          <w:szCs w:val="22"/>
        </w:rPr>
        <w:t xml:space="preserve"> na Stranu kupující dnem následujícím po uplynutí sjednané lhůty. Veškeré případné náklady spojené s předáním </w:t>
      </w:r>
      <w:r w:rsidRPr="00F2162C">
        <w:rPr>
          <w:rFonts w:ascii="Times New Roman" w:hAnsi="Times New Roman"/>
          <w:snapToGrid w:val="0"/>
          <w:szCs w:val="22"/>
        </w:rPr>
        <w:t>Předmětu prodeje</w:t>
      </w:r>
      <w:r w:rsidRPr="00F2162C">
        <w:rPr>
          <w:rFonts w:ascii="Times New Roman" w:hAnsi="Times New Roman"/>
          <w:szCs w:val="22"/>
        </w:rPr>
        <w:t xml:space="preserve"> nese Strana kupující.</w:t>
      </w:r>
    </w:p>
    <w:p w14:paraId="79A9F4F2" w14:textId="77777777" w:rsidR="00104DA2" w:rsidRPr="00F2162C" w:rsidRDefault="00104DA2" w:rsidP="00104DA2">
      <w:pPr>
        <w:ind w:left="708"/>
        <w:rPr>
          <w:sz w:val="22"/>
          <w:szCs w:val="22"/>
          <w:highlight w:val="yellow"/>
        </w:rPr>
      </w:pPr>
    </w:p>
    <w:p w14:paraId="0826F036"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58DA0AAD" w14:textId="77777777" w:rsidR="00104DA2" w:rsidRPr="00F2162C" w:rsidRDefault="00104DA2" w:rsidP="00104DA2">
      <w:pPr>
        <w:rPr>
          <w:sz w:val="22"/>
          <w:szCs w:val="22"/>
          <w:highlight w:val="yellow"/>
        </w:rPr>
      </w:pPr>
    </w:p>
    <w:p w14:paraId="3FD87E7E" w14:textId="77777777" w:rsidR="00104DA2" w:rsidRPr="00F2162C" w:rsidRDefault="00104DA2" w:rsidP="00104DA2">
      <w:pPr>
        <w:ind w:left="708"/>
        <w:rPr>
          <w:sz w:val="22"/>
          <w:szCs w:val="22"/>
          <w:highlight w:val="yellow"/>
        </w:rPr>
      </w:pPr>
    </w:p>
    <w:p w14:paraId="6F7973F9"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t>SALVÁTORSKÁ KLAUZULE</w:t>
      </w:r>
    </w:p>
    <w:p w14:paraId="21630D3F" w14:textId="77777777" w:rsidR="00104DA2" w:rsidRPr="00F2162C" w:rsidRDefault="00104DA2" w:rsidP="00104DA2">
      <w:pPr>
        <w:pStyle w:val="11slovantext"/>
        <w:numPr>
          <w:ilvl w:val="0"/>
          <w:numId w:val="0"/>
        </w:numPr>
        <w:tabs>
          <w:tab w:val="left" w:pos="708"/>
        </w:tabs>
        <w:spacing w:after="0" w:line="240" w:lineRule="auto"/>
        <w:ind w:left="567"/>
        <w:rPr>
          <w:rFonts w:ascii="Times New Roman" w:hAnsi="Times New Roman"/>
          <w:szCs w:val="22"/>
        </w:rPr>
      </w:pPr>
    </w:p>
    <w:p w14:paraId="6FFFF20A"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09742DDF" w14:textId="19F471E7" w:rsidR="00104DA2" w:rsidRDefault="00104DA2">
      <w:pPr>
        <w:rPr>
          <w:szCs w:val="22"/>
        </w:rPr>
      </w:pPr>
      <w:r>
        <w:rPr>
          <w:szCs w:val="22"/>
        </w:rPr>
        <w:br w:type="page"/>
      </w:r>
    </w:p>
    <w:p w14:paraId="49106E1F"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lastRenderedPageBreak/>
        <w:t>DŮVĚRNOST, MLČENLIVOST</w:t>
      </w:r>
    </w:p>
    <w:p w14:paraId="165D7840" w14:textId="77777777" w:rsidR="00104DA2" w:rsidRPr="00F2162C" w:rsidRDefault="00104DA2" w:rsidP="00104DA2">
      <w:pPr>
        <w:pStyle w:val="11slovantext"/>
        <w:numPr>
          <w:ilvl w:val="0"/>
          <w:numId w:val="0"/>
        </w:numPr>
        <w:tabs>
          <w:tab w:val="left" w:pos="708"/>
        </w:tabs>
        <w:spacing w:after="0" w:line="240" w:lineRule="auto"/>
        <w:ind w:left="567"/>
        <w:rPr>
          <w:rFonts w:ascii="Times New Roman" w:hAnsi="Times New Roman"/>
          <w:szCs w:val="22"/>
        </w:rPr>
      </w:pPr>
    </w:p>
    <w:p w14:paraId="1ADAF2B0"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5C9D0FB2" w14:textId="77777777" w:rsidR="00104DA2" w:rsidRPr="00F2162C" w:rsidRDefault="00104DA2" w:rsidP="00104DA2">
      <w:pPr>
        <w:ind w:left="708"/>
        <w:rPr>
          <w:sz w:val="22"/>
          <w:szCs w:val="22"/>
          <w:highlight w:val="yellow"/>
        </w:rPr>
      </w:pPr>
    </w:p>
    <w:p w14:paraId="3361B46C"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t>ZÁVĚREČNÁ UJEDNÁNÍ</w:t>
      </w:r>
    </w:p>
    <w:p w14:paraId="0A021E47"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0E502D50"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34E70D49"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F2162C">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F2162C">
          <w:rPr>
            <w:rFonts w:ascii="Times New Roman" w:hAnsi="Times New Roman"/>
            <w:snapToGrid w:val="0"/>
            <w:szCs w:val="22"/>
          </w:rPr>
          <w:t>2140 a</w:t>
        </w:r>
      </w:smartTag>
      <w:r w:rsidRPr="00F2162C">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F2162C">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F2162C">
          <w:rPr>
            <w:rFonts w:ascii="Times New Roman" w:hAnsi="Times New Roman"/>
            <w:snapToGrid w:val="0"/>
            <w:szCs w:val="22"/>
          </w:rPr>
          <w:t>2150 a</w:t>
        </w:r>
      </w:smartTag>
      <w:r w:rsidRPr="00F2162C">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F2162C">
        <w:rPr>
          <w:rFonts w:ascii="Times New Roman" w:hAnsi="Times New Roman"/>
          <w:snapToGrid w:val="0"/>
          <w:szCs w:val="22"/>
        </w:rPr>
        <w:t>u.</w:t>
      </w:r>
    </w:p>
    <w:p w14:paraId="1EF57E57"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AFC9AC2"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lang w:eastAsia="ar-SA"/>
        </w:rPr>
        <w:t xml:space="preserve">Tuto </w:t>
      </w:r>
      <w:r>
        <w:rPr>
          <w:rFonts w:ascii="Times New Roman" w:hAnsi="Times New Roman"/>
          <w:szCs w:val="22"/>
          <w:lang w:eastAsia="ar-SA"/>
        </w:rPr>
        <w:t>Smlouv</w:t>
      </w:r>
      <w:r w:rsidRPr="00F2162C">
        <w:rPr>
          <w:rFonts w:ascii="Times New Roman" w:hAnsi="Times New Roman"/>
          <w:szCs w:val="22"/>
          <w:lang w:eastAsia="ar-SA"/>
        </w:rPr>
        <w:t>u lze měnit jen písemnými dodatky, podepsanými všemi Stranami.</w:t>
      </w:r>
    </w:p>
    <w:p w14:paraId="57C9E56F" w14:textId="77777777" w:rsidR="00104DA2" w:rsidRPr="00F2162C" w:rsidRDefault="00104DA2" w:rsidP="00104DA2">
      <w:pPr>
        <w:pStyle w:val="Odstavecseseznamem"/>
        <w:rPr>
          <w:iCs/>
          <w:sz w:val="22"/>
          <w:szCs w:val="22"/>
        </w:rPr>
      </w:pPr>
    </w:p>
    <w:p w14:paraId="7773AECF"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iCs/>
          <w:szCs w:val="22"/>
        </w:rPr>
        <w:t xml:space="preserve">Tato Smlouva je vyhotovena ve čtyřech (4) exemplářích, z nichž každý má platnost originálu. Jeden exemplář bude podán příslušnému </w:t>
      </w:r>
      <w:r>
        <w:rPr>
          <w:rFonts w:ascii="Times New Roman" w:hAnsi="Times New Roman"/>
          <w:iCs/>
          <w:szCs w:val="22"/>
        </w:rPr>
        <w:t>k</w:t>
      </w:r>
      <w:r w:rsidRPr="00F2162C">
        <w:rPr>
          <w:rFonts w:ascii="Times New Roman" w:hAnsi="Times New Roman"/>
          <w:iCs/>
          <w:szCs w:val="22"/>
        </w:rPr>
        <w:t xml:space="preserve">atastrálnímu úřadu s návrhem na vklad Smlouvy do katastru nemovitostí, po jednom exempláři obdrží každá ze Stran. </w:t>
      </w:r>
      <w:r w:rsidRPr="00F2162C">
        <w:rPr>
          <w:rFonts w:ascii="Times New Roman" w:hAnsi="Times New Roman"/>
          <w:snapToGrid w:val="0"/>
          <w:szCs w:val="22"/>
        </w:rPr>
        <w:t>Strana prodávající a Strana kupující</w:t>
      </w:r>
      <w:r w:rsidRPr="00F2162C">
        <w:rPr>
          <w:rFonts w:ascii="Times New Roman" w:hAnsi="Times New Roman"/>
          <w:iCs/>
          <w:szCs w:val="22"/>
        </w:rPr>
        <w:t xml:space="preserve"> se dohodly, že jeden exemplář této Smlouvy určený pro katastr nemovitostí uloží u Zúčastněného subjektu</w:t>
      </w:r>
      <w:r w:rsidRPr="00F2162C">
        <w:rPr>
          <w:rFonts w:ascii="Times New Roman" w:hAnsi="Times New Roman"/>
          <w:szCs w:val="22"/>
        </w:rPr>
        <w:t xml:space="preserve"> </w:t>
      </w:r>
      <w:r w:rsidRPr="00F2162C">
        <w:rPr>
          <w:rFonts w:ascii="Times New Roman" w:hAnsi="Times New Roman"/>
          <w:iCs/>
          <w:szCs w:val="22"/>
        </w:rPr>
        <w:t xml:space="preserve">a pověřují Zúčastněný subjekt, aby tento jeden exemplář Smlouvy podal příslušnému Katastrálnímu úřadu s návrhem na vklad Smlouvy do katastru nemovitostí. </w:t>
      </w:r>
      <w:r w:rsidRPr="00F2162C">
        <w:rPr>
          <w:rFonts w:ascii="Times New Roman" w:hAnsi="Times New Roman"/>
          <w:snapToGrid w:val="0"/>
          <w:szCs w:val="22"/>
        </w:rPr>
        <w:t xml:space="preserve">Strana prodávající a Strana kupující </w:t>
      </w:r>
      <w:r w:rsidRPr="00F2162C">
        <w:rPr>
          <w:rFonts w:ascii="Times New Roman" w:hAnsi="Times New Roman"/>
          <w:iCs/>
          <w:szCs w:val="22"/>
        </w:rPr>
        <w:t>tímto udělují Zúčastněnému subjektu</w:t>
      </w:r>
      <w:r w:rsidRPr="00F2162C">
        <w:rPr>
          <w:rFonts w:ascii="Times New Roman" w:hAnsi="Times New Roman"/>
          <w:szCs w:val="22"/>
        </w:rPr>
        <w:t xml:space="preserve"> </w:t>
      </w:r>
      <w:r w:rsidRPr="00F2162C">
        <w:rPr>
          <w:rFonts w:ascii="Times New Roman" w:hAnsi="Times New Roman"/>
          <w:iCs/>
          <w:szCs w:val="22"/>
        </w:rPr>
        <w:t xml:space="preserve">plnou moc k podpisu a k podání návrhu na vklad této Smlouvy do katastru nemovitostí a k jejich zastupování v celém řízení před </w:t>
      </w:r>
      <w:r>
        <w:rPr>
          <w:rFonts w:ascii="Times New Roman" w:hAnsi="Times New Roman"/>
          <w:iCs/>
          <w:szCs w:val="22"/>
        </w:rPr>
        <w:t>k</w:t>
      </w:r>
      <w:r w:rsidRPr="00F2162C">
        <w:rPr>
          <w:rFonts w:ascii="Times New Roman" w:hAnsi="Times New Roman"/>
          <w:iCs/>
          <w:szCs w:val="22"/>
        </w:rPr>
        <w:t>atastrálním úřadem, a to včetně přebírání všech listin s řízením spojených; Zúčastněný subjekt</w:t>
      </w:r>
      <w:r w:rsidRPr="00F2162C">
        <w:rPr>
          <w:rFonts w:ascii="Times New Roman" w:hAnsi="Times New Roman"/>
          <w:szCs w:val="22"/>
        </w:rPr>
        <w:t xml:space="preserve"> </w:t>
      </w:r>
      <w:r w:rsidRPr="00F2162C">
        <w:rPr>
          <w:rFonts w:ascii="Times New Roman" w:hAnsi="Times New Roman"/>
          <w:iCs/>
          <w:szCs w:val="22"/>
        </w:rPr>
        <w:t>je oprávněn k jednáním v rozsahu udělené plné moci zmocnit třetí osobu. Zúčastněný subjekt tuto plnou moc v celém rozsahu přijímá</w:t>
      </w:r>
      <w:r w:rsidRPr="00F2162C">
        <w:rPr>
          <w:rFonts w:ascii="Times New Roman" w:hAnsi="Times New Roman"/>
          <w:szCs w:val="22"/>
        </w:rPr>
        <w:t>. Strana kupující bere na vědomí, že tato Smlouva může být zveřejněna v insolvenčním rejstříku.</w:t>
      </w:r>
    </w:p>
    <w:p w14:paraId="2C063316" w14:textId="77777777" w:rsidR="00104DA2" w:rsidRPr="00F2162C" w:rsidRDefault="00104DA2" w:rsidP="00104DA2">
      <w:pPr>
        <w:widowControl w:val="0"/>
        <w:tabs>
          <w:tab w:val="center" w:pos="4680"/>
        </w:tabs>
        <w:jc w:val="both"/>
        <w:rPr>
          <w:sz w:val="22"/>
          <w:szCs w:val="22"/>
          <w:highlight w:val="yellow"/>
          <w:lang w:eastAsia="ar-SA"/>
        </w:rPr>
      </w:pPr>
    </w:p>
    <w:p w14:paraId="04E29E7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04DA2" w:rsidRPr="00F2162C" w14:paraId="4319ACC5" w14:textId="77777777" w:rsidTr="008D6DC0">
        <w:tc>
          <w:tcPr>
            <w:tcW w:w="4606" w:type="dxa"/>
          </w:tcPr>
          <w:p w14:paraId="7BF3DCD3" w14:textId="77777777" w:rsidR="00104DA2" w:rsidRPr="00104DA2" w:rsidRDefault="00104DA2" w:rsidP="008D6DC0">
            <w:pPr>
              <w:widowControl w:val="0"/>
              <w:tabs>
                <w:tab w:val="left" w:pos="1072"/>
              </w:tabs>
              <w:rPr>
                <w:rFonts w:ascii="Times New Roman" w:hAnsi="Times New Roman" w:cs="Times New Roman"/>
                <w:sz w:val="20"/>
              </w:rPr>
            </w:pPr>
          </w:p>
          <w:p w14:paraId="556B94BF"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____________    dne _____________</w:t>
            </w:r>
          </w:p>
        </w:tc>
        <w:tc>
          <w:tcPr>
            <w:tcW w:w="4606" w:type="dxa"/>
          </w:tcPr>
          <w:p w14:paraId="5DE2CE88" w14:textId="77777777" w:rsidR="00104DA2" w:rsidRPr="00104DA2" w:rsidRDefault="00104DA2" w:rsidP="008D6DC0">
            <w:pPr>
              <w:widowControl w:val="0"/>
              <w:tabs>
                <w:tab w:val="left" w:pos="1072"/>
              </w:tabs>
              <w:rPr>
                <w:rFonts w:ascii="Times New Roman" w:hAnsi="Times New Roman" w:cs="Times New Roman"/>
                <w:sz w:val="20"/>
              </w:rPr>
            </w:pPr>
          </w:p>
          <w:p w14:paraId="611A2566"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____________    dne _____________</w:t>
            </w:r>
          </w:p>
        </w:tc>
      </w:tr>
      <w:tr w:rsidR="00104DA2" w:rsidRPr="00F2162C" w14:paraId="6A321AF1" w14:textId="77777777" w:rsidTr="008D6DC0">
        <w:tc>
          <w:tcPr>
            <w:tcW w:w="4606" w:type="dxa"/>
          </w:tcPr>
          <w:p w14:paraId="4B05DEED" w14:textId="77777777" w:rsidR="00104DA2" w:rsidRPr="00104DA2" w:rsidRDefault="00104DA2" w:rsidP="008D6DC0">
            <w:pPr>
              <w:widowControl w:val="0"/>
              <w:tabs>
                <w:tab w:val="left" w:pos="1072"/>
              </w:tabs>
              <w:rPr>
                <w:rFonts w:ascii="Times New Roman" w:hAnsi="Times New Roman" w:cs="Times New Roman"/>
                <w:sz w:val="20"/>
              </w:rPr>
            </w:pPr>
          </w:p>
          <w:p w14:paraId="3B461060"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Strana prodávající:</w:t>
            </w:r>
          </w:p>
          <w:p w14:paraId="09EF0A65" w14:textId="77777777" w:rsidR="00104DA2" w:rsidRPr="00104DA2" w:rsidRDefault="00104DA2" w:rsidP="008D6DC0">
            <w:pPr>
              <w:widowControl w:val="0"/>
              <w:tabs>
                <w:tab w:val="left" w:pos="1072"/>
              </w:tabs>
              <w:rPr>
                <w:rFonts w:ascii="Times New Roman" w:hAnsi="Times New Roman" w:cs="Times New Roman"/>
                <w:sz w:val="20"/>
              </w:rPr>
            </w:pPr>
          </w:p>
          <w:p w14:paraId="326E7E2A" w14:textId="77777777" w:rsidR="00104DA2" w:rsidRPr="00104DA2" w:rsidRDefault="00104DA2" w:rsidP="008D6DC0">
            <w:pPr>
              <w:widowControl w:val="0"/>
              <w:tabs>
                <w:tab w:val="left" w:pos="1072"/>
              </w:tabs>
              <w:rPr>
                <w:rFonts w:ascii="Times New Roman" w:hAnsi="Times New Roman" w:cs="Times New Roman"/>
                <w:sz w:val="20"/>
              </w:rPr>
            </w:pPr>
          </w:p>
          <w:p w14:paraId="37813CAA" w14:textId="77777777" w:rsidR="00104DA2" w:rsidRPr="00104DA2" w:rsidRDefault="00104DA2" w:rsidP="008D6DC0">
            <w:pPr>
              <w:widowControl w:val="0"/>
              <w:tabs>
                <w:tab w:val="left" w:pos="1072"/>
              </w:tabs>
              <w:rPr>
                <w:rFonts w:ascii="Times New Roman" w:hAnsi="Times New Roman" w:cs="Times New Roman"/>
                <w:sz w:val="20"/>
              </w:rPr>
            </w:pPr>
          </w:p>
          <w:p w14:paraId="74010452"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660FB154" w14:textId="77777777" w:rsidR="00104DA2" w:rsidRPr="00104DA2" w:rsidRDefault="00104DA2" w:rsidP="008D6DC0">
            <w:pPr>
              <w:widowControl w:val="0"/>
              <w:tabs>
                <w:tab w:val="left" w:pos="1072"/>
              </w:tabs>
              <w:jc w:val="both"/>
              <w:rPr>
                <w:rFonts w:ascii="Times New Roman" w:hAnsi="Times New Roman" w:cs="Times New Roman"/>
                <w:bCs/>
                <w:sz w:val="20"/>
              </w:rPr>
            </w:pPr>
            <w:r w:rsidRPr="00104DA2">
              <w:rPr>
                <w:rFonts w:ascii="Times New Roman" w:hAnsi="Times New Roman" w:cs="Times New Roman"/>
                <w:bCs/>
                <w:sz w:val="20"/>
              </w:rPr>
              <w:t>TP Insolvence, v.o.s.,</w:t>
            </w:r>
          </w:p>
          <w:p w14:paraId="0312C0F5" w14:textId="77777777" w:rsidR="00104DA2" w:rsidRPr="00104DA2" w:rsidRDefault="00104DA2" w:rsidP="008D6DC0">
            <w:pPr>
              <w:widowControl w:val="0"/>
              <w:tabs>
                <w:tab w:val="left" w:pos="1072"/>
              </w:tabs>
              <w:jc w:val="both"/>
              <w:rPr>
                <w:rFonts w:ascii="Times New Roman" w:hAnsi="Times New Roman" w:cs="Times New Roman"/>
                <w:sz w:val="20"/>
              </w:rPr>
            </w:pPr>
            <w:r w:rsidRPr="00104DA2">
              <w:rPr>
                <w:rFonts w:ascii="Times New Roman" w:hAnsi="Times New Roman" w:cs="Times New Roman"/>
                <w:sz w:val="20"/>
              </w:rPr>
              <w:t xml:space="preserve">insolvenční správce dlužníka </w:t>
            </w:r>
          </w:p>
          <w:p w14:paraId="01811787" w14:textId="77777777" w:rsidR="00104DA2" w:rsidRPr="00104DA2" w:rsidRDefault="00104DA2" w:rsidP="008D6DC0">
            <w:pPr>
              <w:widowControl w:val="0"/>
              <w:tabs>
                <w:tab w:val="left" w:pos="1072"/>
              </w:tabs>
              <w:jc w:val="both"/>
              <w:rPr>
                <w:rFonts w:ascii="Times New Roman" w:hAnsi="Times New Roman" w:cs="Times New Roman"/>
                <w:sz w:val="20"/>
              </w:rPr>
            </w:pPr>
            <w:proofErr w:type="spellStart"/>
            <w:r w:rsidRPr="00104DA2">
              <w:rPr>
                <w:rFonts w:ascii="Times New Roman" w:hAnsi="Times New Roman" w:cs="Times New Roman"/>
                <w:sz w:val="20"/>
              </w:rPr>
              <w:t>Liberty</w:t>
            </w:r>
            <w:proofErr w:type="spellEnd"/>
            <w:r w:rsidRPr="00104DA2">
              <w:rPr>
                <w:rFonts w:ascii="Times New Roman" w:hAnsi="Times New Roman" w:cs="Times New Roman"/>
                <w:sz w:val="20"/>
              </w:rPr>
              <w:t xml:space="preserve"> Ostrava a.s.</w:t>
            </w:r>
          </w:p>
          <w:p w14:paraId="50704314"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 xml:space="preserve">JUDr. Ing. Šimon Peták, Ph.D. LL.M., </w:t>
            </w:r>
          </w:p>
          <w:p w14:paraId="7DCA271B"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ohlášený společník</w:t>
            </w:r>
            <w:r w:rsidRPr="00104DA2" w:rsidDel="00003EA0">
              <w:rPr>
                <w:rFonts w:ascii="Times New Roman" w:hAnsi="Times New Roman" w:cs="Times New Roman"/>
                <w:sz w:val="20"/>
              </w:rPr>
              <w:t xml:space="preserve"> </w:t>
            </w:r>
          </w:p>
        </w:tc>
        <w:tc>
          <w:tcPr>
            <w:tcW w:w="4606" w:type="dxa"/>
          </w:tcPr>
          <w:p w14:paraId="4F4B2387" w14:textId="77777777" w:rsidR="00104DA2" w:rsidRPr="00104DA2" w:rsidRDefault="00104DA2" w:rsidP="008D6DC0">
            <w:pPr>
              <w:widowControl w:val="0"/>
              <w:tabs>
                <w:tab w:val="left" w:pos="1072"/>
              </w:tabs>
              <w:rPr>
                <w:rFonts w:ascii="Times New Roman" w:hAnsi="Times New Roman" w:cs="Times New Roman"/>
                <w:sz w:val="20"/>
              </w:rPr>
            </w:pPr>
          </w:p>
          <w:p w14:paraId="109EE177"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Strana kupující:</w:t>
            </w:r>
          </w:p>
          <w:p w14:paraId="3A3C4987" w14:textId="77777777" w:rsidR="00104DA2" w:rsidRPr="00104DA2" w:rsidRDefault="00104DA2" w:rsidP="008D6DC0">
            <w:pPr>
              <w:widowControl w:val="0"/>
              <w:tabs>
                <w:tab w:val="left" w:pos="1072"/>
              </w:tabs>
              <w:rPr>
                <w:rFonts w:ascii="Times New Roman" w:hAnsi="Times New Roman" w:cs="Times New Roman"/>
                <w:sz w:val="20"/>
              </w:rPr>
            </w:pPr>
          </w:p>
          <w:p w14:paraId="2832FA7A" w14:textId="77777777" w:rsidR="00104DA2" w:rsidRPr="00104DA2" w:rsidRDefault="00104DA2" w:rsidP="008D6DC0">
            <w:pPr>
              <w:widowControl w:val="0"/>
              <w:tabs>
                <w:tab w:val="left" w:pos="1072"/>
              </w:tabs>
              <w:rPr>
                <w:rFonts w:ascii="Times New Roman" w:hAnsi="Times New Roman" w:cs="Times New Roman"/>
                <w:sz w:val="20"/>
              </w:rPr>
            </w:pPr>
          </w:p>
          <w:p w14:paraId="46BFF249" w14:textId="77777777" w:rsidR="00104DA2" w:rsidRPr="00104DA2" w:rsidRDefault="00104DA2" w:rsidP="008D6DC0">
            <w:pPr>
              <w:widowControl w:val="0"/>
              <w:tabs>
                <w:tab w:val="left" w:pos="1072"/>
              </w:tabs>
              <w:rPr>
                <w:rFonts w:ascii="Times New Roman" w:hAnsi="Times New Roman" w:cs="Times New Roman"/>
                <w:sz w:val="20"/>
              </w:rPr>
            </w:pPr>
          </w:p>
          <w:p w14:paraId="4CBEBDCD"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4C842ECC" w14:textId="77777777" w:rsidR="00104DA2" w:rsidRPr="00104DA2" w:rsidRDefault="00104DA2" w:rsidP="008D6DC0">
            <w:pPr>
              <w:widowControl w:val="0"/>
              <w:tabs>
                <w:tab w:val="left" w:pos="1072"/>
              </w:tabs>
              <w:rPr>
                <w:rFonts w:ascii="Times New Roman" w:hAnsi="Times New Roman" w:cs="Times New Roman"/>
                <w:sz w:val="20"/>
                <w:shd w:val="clear" w:color="auto" w:fill="FFFFFF"/>
              </w:rPr>
            </w:pPr>
            <w:r w:rsidRPr="00104DA2">
              <w:rPr>
                <w:rFonts w:ascii="Times New Roman" w:hAnsi="Times New Roman" w:cs="Times New Roman"/>
                <w:bCs/>
                <w:sz w:val="20"/>
                <w:highlight w:val="yellow"/>
              </w:rPr>
              <w:t>[BUDE DOPLNĚNO]</w:t>
            </w:r>
          </w:p>
          <w:p w14:paraId="06043356"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bCs/>
                <w:sz w:val="20"/>
                <w:highlight w:val="yellow"/>
              </w:rPr>
              <w:t>[BUDE DOPLNĚNO]</w:t>
            </w:r>
          </w:p>
        </w:tc>
      </w:tr>
      <w:tr w:rsidR="00104DA2" w:rsidRPr="00F2162C" w14:paraId="6FDCECCF" w14:textId="77777777" w:rsidTr="008D6DC0">
        <w:tc>
          <w:tcPr>
            <w:tcW w:w="4606" w:type="dxa"/>
          </w:tcPr>
          <w:p w14:paraId="1F40924E" w14:textId="77777777" w:rsidR="00104DA2" w:rsidRPr="00104DA2" w:rsidRDefault="00104DA2" w:rsidP="008D6DC0">
            <w:pPr>
              <w:widowControl w:val="0"/>
              <w:tabs>
                <w:tab w:val="left" w:pos="1072"/>
              </w:tabs>
              <w:rPr>
                <w:rFonts w:ascii="Times New Roman" w:hAnsi="Times New Roman" w:cs="Times New Roman"/>
                <w:sz w:val="20"/>
              </w:rPr>
            </w:pPr>
          </w:p>
          <w:p w14:paraId="34FFF8B1"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Brně dne _____________</w:t>
            </w:r>
          </w:p>
        </w:tc>
        <w:tc>
          <w:tcPr>
            <w:tcW w:w="4606" w:type="dxa"/>
          </w:tcPr>
          <w:p w14:paraId="5AF47943" w14:textId="77777777" w:rsidR="00104DA2" w:rsidRPr="00F2162C" w:rsidRDefault="00104DA2" w:rsidP="008D6DC0">
            <w:pPr>
              <w:widowControl w:val="0"/>
              <w:tabs>
                <w:tab w:val="left" w:pos="1072"/>
              </w:tabs>
            </w:pPr>
          </w:p>
        </w:tc>
      </w:tr>
      <w:tr w:rsidR="00104DA2" w:rsidRPr="00F2162C" w14:paraId="1484D909" w14:textId="77777777" w:rsidTr="008D6DC0">
        <w:tc>
          <w:tcPr>
            <w:tcW w:w="4606" w:type="dxa"/>
          </w:tcPr>
          <w:p w14:paraId="0975A981" w14:textId="77777777" w:rsidR="00104DA2" w:rsidRPr="00104DA2" w:rsidRDefault="00104DA2" w:rsidP="008D6DC0">
            <w:pPr>
              <w:widowControl w:val="0"/>
              <w:tabs>
                <w:tab w:val="left" w:pos="1072"/>
              </w:tabs>
              <w:rPr>
                <w:rFonts w:ascii="Times New Roman" w:hAnsi="Times New Roman" w:cs="Times New Roman"/>
                <w:sz w:val="20"/>
              </w:rPr>
            </w:pPr>
          </w:p>
          <w:p w14:paraId="01F46759"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Zúčastněný subjekt:</w:t>
            </w:r>
          </w:p>
          <w:p w14:paraId="2924D4EF" w14:textId="77777777" w:rsidR="00104DA2" w:rsidRDefault="00104DA2" w:rsidP="008D6DC0">
            <w:pPr>
              <w:widowControl w:val="0"/>
              <w:tabs>
                <w:tab w:val="left" w:pos="1072"/>
              </w:tabs>
              <w:rPr>
                <w:rFonts w:ascii="Times New Roman" w:hAnsi="Times New Roman" w:cs="Times New Roman"/>
                <w:sz w:val="20"/>
              </w:rPr>
            </w:pPr>
          </w:p>
          <w:p w14:paraId="7A0C7E93" w14:textId="77777777" w:rsidR="00104DA2" w:rsidRPr="00104DA2" w:rsidRDefault="00104DA2" w:rsidP="008D6DC0">
            <w:pPr>
              <w:widowControl w:val="0"/>
              <w:tabs>
                <w:tab w:val="left" w:pos="1072"/>
              </w:tabs>
              <w:rPr>
                <w:rFonts w:ascii="Times New Roman" w:hAnsi="Times New Roman" w:cs="Times New Roman"/>
                <w:sz w:val="20"/>
              </w:rPr>
            </w:pPr>
          </w:p>
          <w:p w14:paraId="338F2678"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15C39603" w14:textId="77777777" w:rsidR="00104DA2" w:rsidRPr="00104DA2" w:rsidRDefault="00104DA2" w:rsidP="008D6DC0">
            <w:pPr>
              <w:widowControl w:val="0"/>
              <w:tabs>
                <w:tab w:val="left" w:pos="709"/>
              </w:tabs>
              <w:rPr>
                <w:rFonts w:ascii="Times New Roman" w:hAnsi="Times New Roman" w:cs="Times New Roman"/>
                <w:sz w:val="20"/>
              </w:rPr>
            </w:pPr>
            <w:r w:rsidRPr="00104DA2">
              <w:rPr>
                <w:rFonts w:ascii="Times New Roman" w:hAnsi="Times New Roman" w:cs="Times New Roman"/>
                <w:sz w:val="20"/>
              </w:rPr>
              <w:t>GAUTE, a.s.</w:t>
            </w:r>
          </w:p>
          <w:p w14:paraId="0B5EA3AC"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Ing. Lenka Kunstová na základě plné moci</w:t>
            </w:r>
          </w:p>
        </w:tc>
        <w:tc>
          <w:tcPr>
            <w:tcW w:w="4606" w:type="dxa"/>
          </w:tcPr>
          <w:p w14:paraId="48B9A1E6" w14:textId="77777777" w:rsidR="00104DA2" w:rsidRPr="00F2162C" w:rsidRDefault="00104DA2" w:rsidP="008D6DC0">
            <w:pPr>
              <w:widowControl w:val="0"/>
              <w:tabs>
                <w:tab w:val="left" w:pos="1072"/>
              </w:tabs>
            </w:pPr>
          </w:p>
        </w:tc>
      </w:tr>
      <w:bookmarkEnd w:id="4"/>
    </w:tbl>
    <w:p w14:paraId="76D0C1BD" w14:textId="77777777" w:rsidR="00DE7CF1" w:rsidRPr="00950259" w:rsidRDefault="00DE7CF1" w:rsidP="00104DA2">
      <w:pPr>
        <w:widowControl w:val="0"/>
        <w:shd w:val="clear" w:color="auto" w:fill="FFFFFF"/>
        <w:tabs>
          <w:tab w:val="left" w:pos="0"/>
        </w:tabs>
        <w:suppressAutoHyphens/>
        <w:rPr>
          <w:b/>
          <w:bCs/>
          <w:sz w:val="22"/>
          <w:szCs w:val="22"/>
        </w:rPr>
      </w:pPr>
    </w:p>
    <w:sectPr w:rsidR="00DE7CF1" w:rsidRPr="00950259" w:rsidSect="006C47F9">
      <w:footerReference w:type="default" r:id="rId23"/>
      <w:pgSz w:w="11907" w:h="16840" w:code="9"/>
      <w:pgMar w:top="993" w:right="1191" w:bottom="993"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55B452B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5A4F3D">
      <w:rPr>
        <w:rFonts w:ascii="Arial" w:hAnsi="Arial" w:cs="Arial"/>
        <w:i/>
        <w:color w:val="000000"/>
        <w:sz w:val="16"/>
        <w:szCs w:val="16"/>
      </w:rPr>
      <w:t>759</w:t>
    </w:r>
    <w:r w:rsidR="00346911">
      <w:rPr>
        <w:rFonts w:ascii="Arial" w:hAnsi="Arial" w:cs="Arial"/>
        <w:i/>
        <w:color w:val="000000"/>
        <w:sz w:val="16"/>
        <w:szCs w:val="16"/>
      </w:rPr>
      <w:t>7</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587DA2">
      <w:rPr>
        <w:rStyle w:val="slostrnky"/>
        <w:rFonts w:ascii="Arial" w:hAnsi="Arial" w:cs="Arial"/>
        <w:i/>
        <w:noProof/>
        <w:sz w:val="16"/>
        <w:szCs w:val="16"/>
      </w:rPr>
      <w:t>7</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A847A8">
      <w:rPr>
        <w:rStyle w:val="slostrnky"/>
        <w:rFonts w:ascii="Arial" w:hAnsi="Arial"/>
        <w:i/>
        <w:sz w:val="16"/>
        <w:szCs w:val="16"/>
      </w:rPr>
      <w:fldChar w:fldCharType="begin"/>
    </w:r>
    <w:r w:rsidR="009C0408" w:rsidRPr="00A847A8">
      <w:rPr>
        <w:rStyle w:val="slostrnky"/>
        <w:rFonts w:ascii="Arial" w:hAnsi="Arial"/>
        <w:i/>
        <w:sz w:val="16"/>
        <w:szCs w:val="16"/>
      </w:rPr>
      <w:instrText xml:space="preserve"> NUMPAGES </w:instrText>
    </w:r>
    <w:r w:rsidR="009C0408" w:rsidRPr="00A847A8">
      <w:rPr>
        <w:rStyle w:val="slostrnky"/>
        <w:rFonts w:ascii="Arial" w:hAnsi="Arial"/>
        <w:i/>
        <w:sz w:val="16"/>
        <w:szCs w:val="16"/>
      </w:rPr>
      <w:fldChar w:fldCharType="separate"/>
    </w:r>
    <w:r w:rsidR="00587DA2">
      <w:rPr>
        <w:rStyle w:val="slostrnky"/>
        <w:rFonts w:ascii="Arial" w:hAnsi="Arial"/>
        <w:i/>
        <w:noProof/>
        <w:sz w:val="16"/>
        <w:szCs w:val="16"/>
      </w:rPr>
      <w:t>37</w:t>
    </w:r>
    <w:r w:rsidR="009C0408"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9"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1"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4644669">
    <w:abstractNumId w:val="35"/>
  </w:num>
  <w:num w:numId="2" w16cid:durableId="4407711">
    <w:abstractNumId w:val="18"/>
  </w:num>
  <w:num w:numId="3" w16cid:durableId="712001507">
    <w:abstractNumId w:val="2"/>
  </w:num>
  <w:num w:numId="4" w16cid:durableId="2007396132">
    <w:abstractNumId w:val="5"/>
  </w:num>
  <w:num w:numId="5" w16cid:durableId="1842968161">
    <w:abstractNumId w:val="43"/>
  </w:num>
  <w:num w:numId="6" w16cid:durableId="1931935857">
    <w:abstractNumId w:val="9"/>
  </w:num>
  <w:num w:numId="7" w16cid:durableId="1704792298">
    <w:abstractNumId w:val="4"/>
  </w:num>
  <w:num w:numId="8" w16cid:durableId="430664914">
    <w:abstractNumId w:val="44"/>
  </w:num>
  <w:num w:numId="9" w16cid:durableId="547423841">
    <w:abstractNumId w:val="40"/>
  </w:num>
  <w:num w:numId="10" w16cid:durableId="1568878221">
    <w:abstractNumId w:val="33"/>
  </w:num>
  <w:num w:numId="11" w16cid:durableId="327756628">
    <w:abstractNumId w:val="11"/>
  </w:num>
  <w:num w:numId="12" w16cid:durableId="1943417070">
    <w:abstractNumId w:val="36"/>
  </w:num>
  <w:num w:numId="13" w16cid:durableId="1852719731">
    <w:abstractNumId w:val="22"/>
  </w:num>
  <w:num w:numId="14" w16cid:durableId="667247931">
    <w:abstractNumId w:val="31"/>
  </w:num>
  <w:num w:numId="15" w16cid:durableId="225146001">
    <w:abstractNumId w:val="17"/>
  </w:num>
  <w:num w:numId="16" w16cid:durableId="690764672">
    <w:abstractNumId w:val="29"/>
  </w:num>
  <w:num w:numId="17" w16cid:durableId="284235885">
    <w:abstractNumId w:val="41"/>
  </w:num>
  <w:num w:numId="18" w16cid:durableId="609052343">
    <w:abstractNumId w:val="30"/>
  </w:num>
  <w:num w:numId="19" w16cid:durableId="1718507742">
    <w:abstractNumId w:val="14"/>
  </w:num>
  <w:num w:numId="20" w16cid:durableId="50471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646081">
    <w:abstractNumId w:val="24"/>
  </w:num>
  <w:num w:numId="22" w16cid:durableId="1550071531">
    <w:abstractNumId w:val="12"/>
  </w:num>
  <w:num w:numId="23" w16cid:durableId="1989019490">
    <w:abstractNumId w:val="37"/>
  </w:num>
  <w:num w:numId="24" w16cid:durableId="378017239">
    <w:abstractNumId w:val="15"/>
  </w:num>
  <w:num w:numId="25" w16cid:durableId="1323314401">
    <w:abstractNumId w:val="13"/>
  </w:num>
  <w:num w:numId="26" w16cid:durableId="1939676349">
    <w:abstractNumId w:val="7"/>
  </w:num>
  <w:num w:numId="27" w16cid:durableId="884488018">
    <w:abstractNumId w:val="8"/>
  </w:num>
  <w:num w:numId="28" w16cid:durableId="1465923169">
    <w:abstractNumId w:val="21"/>
  </w:num>
  <w:num w:numId="29" w16cid:durableId="995260652">
    <w:abstractNumId w:val="10"/>
  </w:num>
  <w:num w:numId="30" w16cid:durableId="1967083883">
    <w:abstractNumId w:val="23"/>
  </w:num>
  <w:num w:numId="31" w16cid:durableId="1396315928">
    <w:abstractNumId w:val="32"/>
  </w:num>
  <w:num w:numId="32" w16cid:durableId="745807501">
    <w:abstractNumId w:val="38"/>
  </w:num>
  <w:num w:numId="33" w16cid:durableId="1690836836">
    <w:abstractNumId w:val="39"/>
  </w:num>
  <w:num w:numId="34" w16cid:durableId="834998409">
    <w:abstractNumId w:val="26"/>
  </w:num>
  <w:num w:numId="35" w16cid:durableId="1823691965">
    <w:abstractNumId w:val="1"/>
  </w:num>
  <w:num w:numId="36" w16cid:durableId="1244148006">
    <w:abstractNumId w:val="27"/>
  </w:num>
  <w:num w:numId="37" w16cid:durableId="891817268">
    <w:abstractNumId w:val="16"/>
  </w:num>
  <w:num w:numId="38" w16cid:durableId="95905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3626881">
    <w:abstractNumId w:val="6"/>
  </w:num>
  <w:num w:numId="40" w16cid:durableId="80308001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04DA2"/>
    <w:rsid w:val="00111768"/>
    <w:rsid w:val="00112906"/>
    <w:rsid w:val="001141F1"/>
    <w:rsid w:val="00115DE1"/>
    <w:rsid w:val="00133E17"/>
    <w:rsid w:val="001352D2"/>
    <w:rsid w:val="00140357"/>
    <w:rsid w:val="00151011"/>
    <w:rsid w:val="001576E6"/>
    <w:rsid w:val="00175AC3"/>
    <w:rsid w:val="0017712C"/>
    <w:rsid w:val="00195B35"/>
    <w:rsid w:val="001B4093"/>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470A"/>
    <w:rsid w:val="002A0564"/>
    <w:rsid w:val="002A05B1"/>
    <w:rsid w:val="002A429A"/>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46911"/>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1875"/>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87DA2"/>
    <w:rsid w:val="00591632"/>
    <w:rsid w:val="005939BC"/>
    <w:rsid w:val="005A27A8"/>
    <w:rsid w:val="005A4F3D"/>
    <w:rsid w:val="005A5F36"/>
    <w:rsid w:val="005A6EA4"/>
    <w:rsid w:val="005B18A5"/>
    <w:rsid w:val="005B6B9C"/>
    <w:rsid w:val="005C0DF6"/>
    <w:rsid w:val="005C438B"/>
    <w:rsid w:val="005D4547"/>
    <w:rsid w:val="005D6C2F"/>
    <w:rsid w:val="005D6E77"/>
    <w:rsid w:val="005E6F2D"/>
    <w:rsid w:val="005F1161"/>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D709F"/>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45552"/>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90391"/>
    <w:rsid w:val="00C94D69"/>
    <w:rsid w:val="00C95020"/>
    <w:rsid w:val="00CA0529"/>
    <w:rsid w:val="00CB61FF"/>
    <w:rsid w:val="00CB62D3"/>
    <w:rsid w:val="00CD243F"/>
    <w:rsid w:val="00CF0235"/>
    <w:rsid w:val="00CF16F7"/>
    <w:rsid w:val="00CF7FF4"/>
    <w:rsid w:val="00D03DA8"/>
    <w:rsid w:val="00D137A7"/>
    <w:rsid w:val="00D24DB6"/>
    <w:rsid w:val="00D30715"/>
    <w:rsid w:val="00D3283D"/>
    <w:rsid w:val="00D503A4"/>
    <w:rsid w:val="00D619BF"/>
    <w:rsid w:val="00D65441"/>
    <w:rsid w:val="00D6572C"/>
    <w:rsid w:val="00D94551"/>
    <w:rsid w:val="00D94629"/>
    <w:rsid w:val="00DA6747"/>
    <w:rsid w:val="00DA6E2A"/>
    <w:rsid w:val="00DB0AF9"/>
    <w:rsid w:val="00DB1BA5"/>
    <w:rsid w:val="00DE1DC0"/>
    <w:rsid w:val="00DE52DE"/>
    <w:rsid w:val="00DE6B4C"/>
    <w:rsid w:val="00DE7CF1"/>
    <w:rsid w:val="00DF58E6"/>
    <w:rsid w:val="00DF64CC"/>
    <w:rsid w:val="00E0098D"/>
    <w:rsid w:val="00E251CF"/>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0431"/>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0F91767E-0BDB-4206-9E57-31E730BD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Nevyeenzmnka2">
    <w:name w:val="Nevyřešená zmínka2"/>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3147">
      <w:bodyDiv w:val="1"/>
      <w:marLeft w:val="0"/>
      <w:marRight w:val="0"/>
      <w:marTop w:val="0"/>
      <w:marBottom w:val="0"/>
      <w:divBdr>
        <w:top w:val="none" w:sz="0" w:space="0" w:color="auto"/>
        <w:left w:val="none" w:sz="0" w:space="0" w:color="auto"/>
        <w:bottom w:val="none" w:sz="0" w:space="0" w:color="auto"/>
        <w:right w:val="none" w:sz="0" w:space="0" w:color="auto"/>
      </w:divBdr>
    </w:div>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4A170-550B-4D30-B927-138E9703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22332</Words>
  <Characters>131763</Characters>
  <Application>Microsoft Office Word</Application>
  <DocSecurity>0</DocSecurity>
  <Lines>1098</Lines>
  <Paragraphs>307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153788</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14</cp:revision>
  <cp:lastPrinted>2025-03-10T12:43:00Z</cp:lastPrinted>
  <dcterms:created xsi:type="dcterms:W3CDTF">2025-02-18T11:38:00Z</dcterms:created>
  <dcterms:modified xsi:type="dcterms:W3CDTF">2025-03-11T09:31:00Z</dcterms:modified>
</cp:coreProperties>
</file>